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CE8F" w14:textId="77777777" w:rsidR="00427782" w:rsidRPr="00A314FB" w:rsidRDefault="00427782" w:rsidP="00427782">
      <w:pPr>
        <w:pStyle w:val="Kopfzeile"/>
        <w:tabs>
          <w:tab w:val="clear" w:pos="4536"/>
          <w:tab w:val="clear" w:pos="9072"/>
        </w:tabs>
        <w:rPr>
          <w:rFonts w:ascii="Frutiger 45 Light" w:hAnsi="Frutiger 45 Light"/>
        </w:rPr>
      </w:pPr>
    </w:p>
    <w:p w14:paraId="7DFE3982" w14:textId="77777777" w:rsidR="00427782" w:rsidRPr="00A314FB" w:rsidRDefault="00427782" w:rsidP="00427782">
      <w:pPr>
        <w:pStyle w:val="Kopfzeile"/>
        <w:tabs>
          <w:tab w:val="clear" w:pos="4536"/>
          <w:tab w:val="clear" w:pos="9072"/>
        </w:tabs>
        <w:rPr>
          <w:rFonts w:ascii="Frutiger 45 Light" w:hAnsi="Frutiger 45 Light"/>
        </w:rPr>
      </w:pPr>
    </w:p>
    <w:p w14:paraId="1CF13048" w14:textId="77777777" w:rsidR="00427782" w:rsidRPr="00A314FB" w:rsidRDefault="00427782" w:rsidP="00427782">
      <w:pPr>
        <w:pStyle w:val="Kopfzeile"/>
        <w:tabs>
          <w:tab w:val="clear" w:pos="4536"/>
          <w:tab w:val="clear" w:pos="9072"/>
        </w:tabs>
        <w:jc w:val="center"/>
        <w:rPr>
          <w:rFonts w:ascii="Frutiger 45 Light" w:hAnsi="Frutiger 45 Light"/>
        </w:rPr>
      </w:pPr>
      <w:r>
        <w:rPr>
          <w:rFonts w:ascii="Frutiger 45 Light" w:hAnsi="Frutiger 45 Light"/>
          <w:noProof/>
          <w:lang w:eastAsia="de-CH"/>
        </w:rPr>
        <w:drawing>
          <wp:inline distT="0" distB="0" distL="0" distR="0" wp14:anchorId="508AAFC9" wp14:editId="738697EB">
            <wp:extent cx="4203700" cy="1617345"/>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3700" cy="1617345"/>
                    </a:xfrm>
                    <a:prstGeom prst="rect">
                      <a:avLst/>
                    </a:prstGeom>
                    <a:noFill/>
                    <a:ln w="9525">
                      <a:noFill/>
                      <a:miter lim="800000"/>
                      <a:headEnd/>
                      <a:tailEnd/>
                    </a:ln>
                  </pic:spPr>
                </pic:pic>
              </a:graphicData>
            </a:graphic>
          </wp:inline>
        </w:drawing>
      </w:r>
    </w:p>
    <w:p w14:paraId="6BD5FDF7" w14:textId="77777777" w:rsidR="00427782" w:rsidRPr="00A314FB" w:rsidRDefault="00427782" w:rsidP="00427782">
      <w:pPr>
        <w:rPr>
          <w:rFonts w:ascii="Frutiger 45 Light" w:hAnsi="Frutiger 45 Light"/>
        </w:rPr>
      </w:pPr>
    </w:p>
    <w:p w14:paraId="0B7CD555" w14:textId="77777777" w:rsidR="00427782" w:rsidRPr="00A314FB" w:rsidRDefault="00427782" w:rsidP="00427782">
      <w:pPr>
        <w:rPr>
          <w:rFonts w:ascii="Frutiger 45 Light" w:hAnsi="Frutiger 45 Light"/>
        </w:rPr>
      </w:pPr>
    </w:p>
    <w:p w14:paraId="4F10E73C" w14:textId="77777777" w:rsidR="00427782" w:rsidRPr="00A314FB" w:rsidRDefault="00427782" w:rsidP="00427782">
      <w:pPr>
        <w:rPr>
          <w:rFonts w:ascii="Frutiger 45 Light" w:hAnsi="Frutiger 45 Light"/>
        </w:rPr>
      </w:pPr>
    </w:p>
    <w:p w14:paraId="5683BBF7" w14:textId="77777777" w:rsidR="00427782" w:rsidRPr="00A314FB" w:rsidRDefault="00427782" w:rsidP="00427782">
      <w:pPr>
        <w:rPr>
          <w:rFonts w:ascii="Frutiger 45 Light" w:hAnsi="Frutiger 45 Light"/>
        </w:rPr>
      </w:pPr>
    </w:p>
    <w:p w14:paraId="16CEE466" w14:textId="77777777" w:rsidR="00427782" w:rsidRPr="00A314FB" w:rsidRDefault="00427782" w:rsidP="00427782">
      <w:pPr>
        <w:rPr>
          <w:rFonts w:ascii="Frutiger 45 Light" w:hAnsi="Frutiger 45 Light"/>
        </w:rPr>
      </w:pPr>
    </w:p>
    <w:p w14:paraId="1A1CE597" w14:textId="77777777" w:rsidR="00427782" w:rsidRPr="00A314FB" w:rsidRDefault="00427782" w:rsidP="00427782">
      <w:pPr>
        <w:rPr>
          <w:rFonts w:ascii="Frutiger 45 Light" w:hAnsi="Frutiger 45 Light"/>
        </w:rPr>
      </w:pPr>
    </w:p>
    <w:p w14:paraId="61A07EBC" w14:textId="77777777" w:rsidR="00427782" w:rsidRPr="00A314FB" w:rsidRDefault="00427782" w:rsidP="00427782">
      <w:pPr>
        <w:rPr>
          <w:rFonts w:ascii="Frutiger 45 Light" w:hAnsi="Frutiger 45 Light"/>
        </w:rPr>
      </w:pPr>
    </w:p>
    <w:p w14:paraId="654DAC6A" w14:textId="77777777" w:rsidR="00427782" w:rsidRPr="00A314FB" w:rsidRDefault="00427782" w:rsidP="00CD5C3E">
      <w:pPr>
        <w:pStyle w:val="GrosserTitel"/>
        <w:jc w:val="left"/>
        <w:rPr>
          <w:rFonts w:ascii="Frutiger 45 Light" w:hAnsi="Frutiger 45 Light"/>
          <w:lang w:val="de-CH"/>
        </w:rPr>
      </w:pPr>
    </w:p>
    <w:p w14:paraId="6FDC539E" w14:textId="105BB683" w:rsidR="00427782" w:rsidRPr="00A314FB" w:rsidRDefault="00CD5C3E" w:rsidP="004E1E68">
      <w:pPr>
        <w:pStyle w:val="GrosserTitel"/>
        <w:ind w:left="-142" w:right="-148" w:firstLine="142"/>
        <w:rPr>
          <w:rFonts w:ascii="Frutiger 45 Light" w:hAnsi="Frutiger 45 Light"/>
          <w:lang w:val="de-CH"/>
        </w:rPr>
      </w:pPr>
      <w:r>
        <w:rPr>
          <w:rFonts w:ascii="Frutiger 45 Light" w:hAnsi="Frutiger 45 Light"/>
          <w:sz w:val="72"/>
          <w:lang w:val="de-CH"/>
        </w:rPr>
        <w:t xml:space="preserve">Reglement über die Erhebung und Verwendung der Konzessionsabgabe für die Stromversorgung </w:t>
      </w:r>
      <w:r w:rsidR="00427782" w:rsidRPr="00A314FB">
        <w:rPr>
          <w:rFonts w:ascii="Frutiger 45 Light" w:hAnsi="Frutiger 45 Light"/>
          <w:sz w:val="72"/>
          <w:lang w:val="de-CH"/>
        </w:rPr>
        <w:br/>
      </w:r>
    </w:p>
    <w:p w14:paraId="7280D0ED" w14:textId="2B4B5F57" w:rsidR="00427782" w:rsidRPr="00A314FB" w:rsidRDefault="00CD5C3E" w:rsidP="00427782">
      <w:pPr>
        <w:pStyle w:val="GrosserTitel"/>
        <w:rPr>
          <w:rFonts w:ascii="Frutiger 45 Light" w:hAnsi="Frutiger 45 Light"/>
          <w:lang w:val="de-CH"/>
        </w:rPr>
      </w:pPr>
      <w:r>
        <w:rPr>
          <w:rFonts w:ascii="Frutiger 45 Light" w:hAnsi="Frutiger 45 Light"/>
          <w:lang w:val="de-CH"/>
        </w:rPr>
        <w:t>der</w:t>
      </w:r>
    </w:p>
    <w:p w14:paraId="52DC101A" w14:textId="77777777" w:rsidR="00427782" w:rsidRPr="00A314FB" w:rsidRDefault="00427782" w:rsidP="00427782">
      <w:pPr>
        <w:pStyle w:val="GrosserTitel"/>
        <w:rPr>
          <w:rFonts w:ascii="Frutiger 45 Light" w:hAnsi="Frutiger 45 Light"/>
          <w:lang w:val="de-CH"/>
        </w:rPr>
      </w:pPr>
    </w:p>
    <w:p w14:paraId="5F62A6F6" w14:textId="77777777" w:rsidR="00427782" w:rsidRPr="00A314FB" w:rsidRDefault="00427782" w:rsidP="00427782">
      <w:pPr>
        <w:pStyle w:val="GrosserTitel"/>
        <w:rPr>
          <w:rFonts w:ascii="Frutiger 45 Light" w:hAnsi="Frutiger 45 Light"/>
          <w:sz w:val="72"/>
          <w:lang w:val="de-CH"/>
        </w:rPr>
      </w:pPr>
      <w:r w:rsidRPr="00A314FB">
        <w:rPr>
          <w:rFonts w:ascii="Frutiger 45 Light" w:hAnsi="Frutiger 45 Light"/>
          <w:sz w:val="72"/>
          <w:lang w:val="de-CH"/>
        </w:rPr>
        <w:t>Einwohnergemeinde</w:t>
      </w:r>
    </w:p>
    <w:p w14:paraId="66AC0C53" w14:textId="77777777" w:rsidR="00427782" w:rsidRPr="00A314FB" w:rsidRDefault="00427782" w:rsidP="00427782">
      <w:pPr>
        <w:rPr>
          <w:rFonts w:ascii="Frutiger 45 Light" w:hAnsi="Frutiger 45 Light"/>
        </w:rPr>
      </w:pPr>
    </w:p>
    <w:p w14:paraId="7161A7A3" w14:textId="77777777" w:rsidR="00427782" w:rsidRPr="00A314FB" w:rsidRDefault="00427782" w:rsidP="00427782">
      <w:pPr>
        <w:rPr>
          <w:rFonts w:ascii="Frutiger 45 Light" w:hAnsi="Frutiger 45 Light"/>
        </w:rPr>
      </w:pPr>
    </w:p>
    <w:p w14:paraId="1B68872F" w14:textId="0595555E" w:rsidR="00427782" w:rsidRPr="00CD5C3E" w:rsidRDefault="00427782" w:rsidP="00CD5C3E">
      <w:pPr>
        <w:pStyle w:val="GrosserTitel"/>
        <w:rPr>
          <w:rFonts w:ascii="Frutiger 45 Light" w:hAnsi="Frutiger 45 Light"/>
          <w:sz w:val="72"/>
          <w:szCs w:val="72"/>
          <w:lang w:val="de-CH"/>
        </w:rPr>
      </w:pPr>
      <w:r w:rsidRPr="00A314FB">
        <w:rPr>
          <w:rFonts w:ascii="Frutiger 45 Light" w:hAnsi="Frutiger 45 Light"/>
          <w:sz w:val="72"/>
          <w:szCs w:val="72"/>
          <w:lang w:val="de-CH"/>
        </w:rPr>
        <w:t>Twann-Tüscherz</w:t>
      </w:r>
    </w:p>
    <w:p w14:paraId="1416E919" w14:textId="77777777" w:rsidR="00427782" w:rsidRDefault="00427782" w:rsidP="00427782">
      <w:pPr>
        <w:rPr>
          <w:rFonts w:ascii="Frutiger 45 Light" w:hAnsi="Frutiger 45 Light"/>
          <w:sz w:val="24"/>
          <w:szCs w:val="24"/>
        </w:rPr>
      </w:pPr>
    </w:p>
    <w:p w14:paraId="4DF92173" w14:textId="190113E9" w:rsidR="008C1584" w:rsidRPr="0035260D" w:rsidRDefault="0035260D" w:rsidP="008C1584">
      <w:pPr>
        <w:jc w:val="center"/>
        <w:rPr>
          <w:rFonts w:ascii="Frutiger 45 Light" w:hAnsi="Frutiger 45 Light"/>
          <w:sz w:val="24"/>
          <w:szCs w:val="24"/>
        </w:rPr>
      </w:pPr>
      <w:r w:rsidRPr="0035260D">
        <w:rPr>
          <w:rFonts w:ascii="Frutiger 45 Light" w:hAnsi="Frutiger 45 Light"/>
          <w:sz w:val="24"/>
          <w:szCs w:val="24"/>
        </w:rPr>
        <w:t>Beschlossen von der Gemeindeversammlung am</w:t>
      </w:r>
      <w:r w:rsidR="00A17439" w:rsidRPr="0035260D">
        <w:rPr>
          <w:rFonts w:ascii="Frutiger 45 Light" w:hAnsi="Frutiger 45 Light"/>
          <w:sz w:val="24"/>
          <w:szCs w:val="24"/>
        </w:rPr>
        <w:t xml:space="preserve"> </w:t>
      </w:r>
      <w:r w:rsidR="003C4274">
        <w:rPr>
          <w:rFonts w:ascii="Frutiger 45 Light" w:hAnsi="Frutiger 45 Light"/>
          <w:sz w:val="24"/>
          <w:szCs w:val="24"/>
        </w:rPr>
        <w:t>23.06.2025</w:t>
      </w:r>
    </w:p>
    <w:p w14:paraId="6985098C" w14:textId="77777777" w:rsidR="008C1584" w:rsidRDefault="008C1584">
      <w:pPr>
        <w:overflowPunct/>
        <w:autoSpaceDE/>
        <w:autoSpaceDN/>
        <w:adjustRightInd/>
        <w:spacing w:after="200" w:line="276" w:lineRule="auto"/>
        <w:textAlignment w:val="auto"/>
        <w:rPr>
          <w:rFonts w:ascii="Frutiger 45 Light" w:hAnsi="Frutiger 45 Light"/>
          <w:sz w:val="24"/>
          <w:szCs w:val="24"/>
        </w:rPr>
      </w:pPr>
      <w:r>
        <w:rPr>
          <w:rFonts w:ascii="Frutiger 45 Light" w:hAnsi="Frutiger 45 Light"/>
          <w:sz w:val="24"/>
          <w:szCs w:val="24"/>
        </w:rPr>
        <w:br w:type="page"/>
      </w:r>
    </w:p>
    <w:p w14:paraId="2FCC38B8" w14:textId="77777777" w:rsidR="00A22D94" w:rsidRDefault="00A22D94" w:rsidP="00A22D94">
      <w:pPr>
        <w:rPr>
          <w:rFonts w:cs="Arial"/>
          <w:color w:val="000000"/>
        </w:rPr>
        <w:sectPr w:rsidR="00A22D94" w:rsidSect="00390EFC">
          <w:pgSz w:w="11900" w:h="16840"/>
          <w:pgMar w:top="1417" w:right="1417" w:bottom="1134" w:left="1417" w:header="708" w:footer="708" w:gutter="0"/>
          <w:cols w:space="708"/>
          <w:docGrid w:linePitch="360"/>
        </w:sectPr>
      </w:pPr>
    </w:p>
    <w:p w14:paraId="39F41021" w14:textId="77777777" w:rsidR="00EA6A97" w:rsidRPr="00EA6A97" w:rsidRDefault="00AF3E31" w:rsidP="00EA6A97">
      <w:pPr>
        <w:rPr>
          <w:rFonts w:cs="Arial"/>
          <w:color w:val="000000"/>
          <w:sz w:val="20"/>
        </w:rPr>
      </w:pPr>
      <w:r w:rsidRPr="00EA6A97">
        <w:rPr>
          <w:rFonts w:cs="Arial"/>
          <w:color w:val="000000"/>
          <w:sz w:val="20"/>
        </w:rPr>
        <w:lastRenderedPageBreak/>
        <w:t xml:space="preserve">Die Einwohnergemeinde Twann-Tüscherz </w:t>
      </w:r>
    </w:p>
    <w:p w14:paraId="79E33AA2" w14:textId="1D4D4F9E" w:rsidR="00EA6A97" w:rsidRPr="00EA6A97" w:rsidRDefault="00AF3E31" w:rsidP="00EA6A97">
      <w:pPr>
        <w:rPr>
          <w:rFonts w:cs="Arial"/>
          <w:color w:val="000000"/>
          <w:sz w:val="20"/>
        </w:rPr>
      </w:pPr>
      <w:r w:rsidRPr="00EA6A97">
        <w:rPr>
          <w:rFonts w:cs="Arial"/>
          <w:color w:val="000000"/>
          <w:sz w:val="20"/>
        </w:rPr>
        <w:t xml:space="preserve">erlässt gestützt auf </w:t>
      </w:r>
    </w:p>
    <w:p w14:paraId="3383D937" w14:textId="77777777" w:rsidR="00EA6A97" w:rsidRPr="00EA6A97" w:rsidRDefault="00EA6A97" w:rsidP="00EA6A97">
      <w:pPr>
        <w:rPr>
          <w:rFonts w:cs="Arial"/>
          <w:color w:val="000000"/>
          <w:sz w:val="20"/>
        </w:rPr>
      </w:pPr>
    </w:p>
    <w:p w14:paraId="48A8C428" w14:textId="363DBF5E" w:rsidR="00AF3E31" w:rsidRPr="00EA6A97" w:rsidRDefault="00AF3E31" w:rsidP="00EA6A97">
      <w:pPr>
        <w:rPr>
          <w:rFonts w:cs="Arial"/>
          <w:color w:val="000000"/>
          <w:sz w:val="20"/>
        </w:rPr>
      </w:pPr>
      <w:r w:rsidRPr="00EA6A97">
        <w:rPr>
          <w:rFonts w:cs="Arial"/>
          <w:color w:val="000000"/>
          <w:sz w:val="20"/>
        </w:rPr>
        <w:t xml:space="preserve">Art 7a des Organisationsreglements Twann-Tüscherz vom </w:t>
      </w:r>
      <w:r w:rsidR="003C4274" w:rsidRPr="00EA6A97">
        <w:rPr>
          <w:rFonts w:cs="Arial"/>
          <w:color w:val="000000"/>
          <w:sz w:val="20"/>
        </w:rPr>
        <w:t>26.09.2021</w:t>
      </w:r>
      <w:r w:rsidR="004E1E68" w:rsidRPr="00EA6A97">
        <w:rPr>
          <w:rFonts w:cs="Arial"/>
          <w:color w:val="000000"/>
          <w:sz w:val="20"/>
        </w:rPr>
        <w:t xml:space="preserve"> f</w:t>
      </w:r>
      <w:r w:rsidRPr="00EA6A97">
        <w:rPr>
          <w:rFonts w:cs="Arial"/>
          <w:color w:val="000000"/>
          <w:sz w:val="20"/>
        </w:rPr>
        <w:t xml:space="preserve">olgendes </w:t>
      </w:r>
    </w:p>
    <w:p w14:paraId="0D7A2028" w14:textId="77777777" w:rsidR="00AF3E31" w:rsidRPr="00B85AAB" w:rsidRDefault="00AF3E31" w:rsidP="00AF3E31">
      <w:pPr>
        <w:rPr>
          <w:rFonts w:cs="Arial"/>
          <w:color w:val="000000"/>
        </w:rPr>
      </w:pPr>
    </w:p>
    <w:p w14:paraId="27FEDECD" w14:textId="77777777" w:rsidR="00AF3E31" w:rsidRDefault="00CD5C3E" w:rsidP="00EA6A97">
      <w:pPr>
        <w:ind w:left="3261"/>
        <w:rPr>
          <w:rFonts w:cs="Arial"/>
          <w:b/>
          <w:bCs/>
          <w:sz w:val="28"/>
          <w:szCs w:val="28"/>
        </w:rPr>
      </w:pPr>
      <w:r w:rsidRPr="00CD5C3E">
        <w:rPr>
          <w:rFonts w:cs="Arial"/>
          <w:b/>
          <w:bCs/>
          <w:sz w:val="28"/>
          <w:szCs w:val="28"/>
        </w:rPr>
        <w:t xml:space="preserve">Reglement über die Erhebung und Verwendung der Konzessionsabgabe für die Stromversorgung </w:t>
      </w:r>
    </w:p>
    <w:p w14:paraId="25596FC7" w14:textId="77777777" w:rsidR="00EA6A97" w:rsidRPr="00CD5C3E" w:rsidRDefault="00EA6A97" w:rsidP="00EA6A97">
      <w:pPr>
        <w:rPr>
          <w:rFonts w:cs="Arial"/>
          <w:b/>
          <w:bCs/>
          <w:sz w:val="28"/>
          <w:szCs w:val="28"/>
        </w:rPr>
      </w:pPr>
    </w:p>
    <w:p w14:paraId="2130480B" w14:textId="738BF436" w:rsidR="00CD5C3E" w:rsidRDefault="00CD5C3E" w:rsidP="00EA6A97">
      <w:pPr>
        <w:rPr>
          <w:rFonts w:cs="Arial"/>
          <w:b/>
          <w:color w:val="000000"/>
          <w:sz w:val="28"/>
          <w:szCs w:val="28"/>
        </w:rPr>
        <w:sectPr w:rsidR="00CD5C3E" w:rsidSect="00AF3E31">
          <w:pgSz w:w="11900" w:h="16840"/>
          <w:pgMar w:top="1417" w:right="1417" w:bottom="1134" w:left="1417" w:header="708" w:footer="708" w:gutter="0"/>
          <w:cols w:space="397"/>
          <w:docGrid w:linePitch="360"/>
        </w:sectPr>
      </w:pPr>
    </w:p>
    <w:p w14:paraId="003966FD" w14:textId="77777777" w:rsidR="00AF3E31" w:rsidRDefault="00AF3E31" w:rsidP="00A22D94">
      <w:pPr>
        <w:rPr>
          <w:rFonts w:ascii="Times New Roman" w:hAnsi="Times New Roman"/>
          <w:color w:val="000000"/>
          <w:szCs w:val="22"/>
        </w:rPr>
        <w:sectPr w:rsidR="00AF3E31" w:rsidSect="00AF3E31">
          <w:type w:val="continuous"/>
          <w:pgSz w:w="11900" w:h="16840"/>
          <w:pgMar w:top="1417" w:right="1417" w:bottom="1134" w:left="1417" w:header="708" w:footer="708" w:gutter="0"/>
          <w:cols w:num="2" w:space="426" w:equalWidth="0">
            <w:col w:w="2411" w:space="397"/>
            <w:col w:w="6258"/>
          </w:cols>
          <w:docGrid w:linePitch="360"/>
        </w:sectPr>
      </w:pPr>
    </w:p>
    <w:p w14:paraId="03736BF0" w14:textId="77777777" w:rsidR="0035260D" w:rsidRDefault="0035260D" w:rsidP="0043007A">
      <w:pPr>
        <w:jc w:val="both"/>
        <w:rPr>
          <w:rFonts w:ascii="Times New Roman" w:hAnsi="Times New Roman"/>
          <w:color w:val="1D1D1D"/>
          <w:szCs w:val="22"/>
        </w:rPr>
      </w:pPr>
    </w:p>
    <w:tbl>
      <w:tblPr>
        <w:tblW w:w="9153" w:type="dxa"/>
        <w:tblInd w:w="131" w:type="dxa"/>
        <w:tblLayout w:type="fixed"/>
        <w:tblCellMar>
          <w:left w:w="70" w:type="dxa"/>
          <w:right w:w="70" w:type="dxa"/>
        </w:tblCellMar>
        <w:tblLook w:val="0000" w:firstRow="0" w:lastRow="0" w:firstColumn="0" w:lastColumn="0" w:noHBand="0" w:noVBand="0"/>
      </w:tblPr>
      <w:tblGrid>
        <w:gridCol w:w="2749"/>
        <w:gridCol w:w="167"/>
        <w:gridCol w:w="6237"/>
      </w:tblGrid>
      <w:tr w:rsidR="00C16FDE" w14:paraId="5CCC90D4" w14:textId="77777777" w:rsidTr="00923B34">
        <w:trPr>
          <w:cantSplit/>
        </w:trPr>
        <w:tc>
          <w:tcPr>
            <w:tcW w:w="2749" w:type="dxa"/>
          </w:tcPr>
          <w:p w14:paraId="66C1A54B" w14:textId="77777777" w:rsidR="00C16FDE" w:rsidRDefault="00CD5C3E" w:rsidP="00C16FDE">
            <w:pPr>
              <w:rPr>
                <w:sz w:val="20"/>
              </w:rPr>
            </w:pPr>
            <w:r>
              <w:rPr>
                <w:sz w:val="20"/>
              </w:rPr>
              <w:t>Benützung des</w:t>
            </w:r>
          </w:p>
          <w:p w14:paraId="4680D5ED" w14:textId="06853761" w:rsidR="00CD5C3E" w:rsidRDefault="00CD5C3E" w:rsidP="00C16FDE">
            <w:pPr>
              <w:rPr>
                <w:sz w:val="20"/>
              </w:rPr>
            </w:pPr>
            <w:r>
              <w:rPr>
                <w:sz w:val="20"/>
              </w:rPr>
              <w:t>Öffentlichen Grundes</w:t>
            </w:r>
            <w:r w:rsidR="00923B34">
              <w:rPr>
                <w:sz w:val="20"/>
              </w:rPr>
              <w:t xml:space="preserve">  </w:t>
            </w:r>
            <w:r w:rsidR="00923B34" w:rsidRPr="00923B34">
              <w:rPr>
                <w:b/>
                <w:bCs/>
                <w:sz w:val="20"/>
              </w:rPr>
              <w:t>Art.</w:t>
            </w:r>
            <w:r w:rsidR="00923B34">
              <w:rPr>
                <w:b/>
                <w:bCs/>
                <w:sz w:val="20"/>
              </w:rPr>
              <w:t>1</w:t>
            </w:r>
          </w:p>
        </w:tc>
        <w:tc>
          <w:tcPr>
            <w:tcW w:w="167" w:type="dxa"/>
          </w:tcPr>
          <w:p w14:paraId="579BAE27" w14:textId="2FF2EC63" w:rsidR="00C16FDE" w:rsidRDefault="00C16FDE" w:rsidP="00C16FDE">
            <w:pPr>
              <w:rPr>
                <w:sz w:val="20"/>
              </w:rPr>
            </w:pPr>
          </w:p>
        </w:tc>
        <w:tc>
          <w:tcPr>
            <w:tcW w:w="6237" w:type="dxa"/>
          </w:tcPr>
          <w:p w14:paraId="21A2CA22" w14:textId="77777777" w:rsidR="00C16FDE" w:rsidRDefault="00CD5C3E" w:rsidP="00C515CB">
            <w:pPr>
              <w:jc w:val="both"/>
              <w:rPr>
                <w:rFonts w:cs="Arial"/>
                <w:sz w:val="20"/>
              </w:rPr>
            </w:pPr>
            <w:r>
              <w:rPr>
                <w:rFonts w:cs="Arial"/>
                <w:sz w:val="20"/>
                <w:vertAlign w:val="superscript"/>
              </w:rPr>
              <w:t>1</w:t>
            </w:r>
            <w:r w:rsidRPr="00CD5C3E">
              <w:rPr>
                <w:rFonts w:cs="Arial"/>
                <w:sz w:val="20"/>
              </w:rPr>
              <w:t>Das Energieversorgungsunternehmen der Gemeinde (nachfolgend EVU) welches über eine Konzession verfügt, ist berechtigt, den öffentlichen Grund der Gemeinde Twann-Tüscherz für den Bau, Betrieb und Unterhalt seiner ober- und unterirdischen Anlagen zur Versorgung mit elektrischer Energie in Anspruch zu nehmen.</w:t>
            </w:r>
          </w:p>
          <w:p w14:paraId="49B5C17C" w14:textId="361F1DB3" w:rsidR="00CD5C3E" w:rsidRPr="00CD5C3E" w:rsidRDefault="00CD5C3E" w:rsidP="00C515CB">
            <w:pPr>
              <w:jc w:val="both"/>
              <w:rPr>
                <w:sz w:val="20"/>
                <w:vertAlign w:val="superscript"/>
              </w:rPr>
            </w:pPr>
            <w:r>
              <w:rPr>
                <w:rFonts w:cs="Arial"/>
                <w:sz w:val="20"/>
                <w:vertAlign w:val="superscript"/>
              </w:rPr>
              <w:t>2</w:t>
            </w:r>
            <w:r w:rsidRPr="004D30C7">
              <w:rPr>
                <w:rFonts w:cs="Arial"/>
              </w:rPr>
              <w:t xml:space="preserve"> </w:t>
            </w:r>
            <w:r w:rsidRPr="00CD5C3E">
              <w:rPr>
                <w:rFonts w:cs="Arial"/>
                <w:sz w:val="20"/>
              </w:rPr>
              <w:t>Der Gemeinderat vereinbart mit dem EVU die Einzelheiten der Nutzung des öffentlichen Grundes.</w:t>
            </w:r>
          </w:p>
        </w:tc>
      </w:tr>
      <w:tr w:rsidR="00C16FDE" w14:paraId="5F2129B9" w14:textId="77777777" w:rsidTr="00923B34">
        <w:trPr>
          <w:cantSplit/>
        </w:trPr>
        <w:tc>
          <w:tcPr>
            <w:tcW w:w="2749" w:type="dxa"/>
          </w:tcPr>
          <w:p w14:paraId="5ED081E0" w14:textId="77777777" w:rsidR="00923B34" w:rsidRDefault="00CD5C3E" w:rsidP="00C16FDE">
            <w:pPr>
              <w:rPr>
                <w:sz w:val="20"/>
              </w:rPr>
            </w:pPr>
            <w:r>
              <w:rPr>
                <w:sz w:val="20"/>
              </w:rPr>
              <w:t xml:space="preserve">Konzessionsabgabe </w:t>
            </w:r>
          </w:p>
          <w:p w14:paraId="40034036" w14:textId="44F4830E" w:rsidR="00923B34" w:rsidRDefault="00CD5C3E" w:rsidP="00C16FDE">
            <w:pPr>
              <w:rPr>
                <w:sz w:val="20"/>
              </w:rPr>
            </w:pPr>
            <w:r>
              <w:rPr>
                <w:sz w:val="20"/>
              </w:rPr>
              <w:t>für die Elektrizitäts</w:t>
            </w:r>
            <w:r w:rsidR="00923B34">
              <w:rPr>
                <w:sz w:val="20"/>
              </w:rPr>
              <w:t xml:space="preserve">-    </w:t>
            </w:r>
            <w:r w:rsidR="00923B34" w:rsidRPr="00923B34">
              <w:rPr>
                <w:b/>
                <w:bCs/>
                <w:sz w:val="20"/>
              </w:rPr>
              <w:t>Art. 2</w:t>
            </w:r>
          </w:p>
          <w:p w14:paraId="2EDD0C9A" w14:textId="0B4E8422" w:rsidR="00C16FDE" w:rsidRDefault="00CD5C3E" w:rsidP="00C16FDE">
            <w:pPr>
              <w:rPr>
                <w:sz w:val="20"/>
              </w:rPr>
            </w:pPr>
            <w:r>
              <w:rPr>
                <w:sz w:val="20"/>
              </w:rPr>
              <w:t>versorgung</w:t>
            </w:r>
          </w:p>
        </w:tc>
        <w:tc>
          <w:tcPr>
            <w:tcW w:w="167" w:type="dxa"/>
          </w:tcPr>
          <w:p w14:paraId="713945E3" w14:textId="7D6518F7" w:rsidR="00C16FDE" w:rsidRDefault="00C16FDE" w:rsidP="00C16FDE">
            <w:pPr>
              <w:rPr>
                <w:b/>
                <w:sz w:val="20"/>
              </w:rPr>
            </w:pPr>
            <w:r>
              <w:rPr>
                <w:b/>
                <w:sz w:val="20"/>
              </w:rPr>
              <w:t xml:space="preserve"> </w:t>
            </w:r>
          </w:p>
        </w:tc>
        <w:tc>
          <w:tcPr>
            <w:tcW w:w="6237" w:type="dxa"/>
          </w:tcPr>
          <w:p w14:paraId="3B19139F" w14:textId="5A9DE8EC" w:rsidR="00CD5C3E" w:rsidRPr="00CD5C3E" w:rsidRDefault="00CD5C3E" w:rsidP="00CD5C3E">
            <w:pPr>
              <w:overflowPunct/>
              <w:autoSpaceDE/>
              <w:autoSpaceDN/>
              <w:adjustRightInd/>
              <w:snapToGrid w:val="0"/>
              <w:spacing w:beforeLines="120" w:before="288"/>
              <w:ind w:left="44" w:hanging="142"/>
              <w:textAlignment w:val="auto"/>
              <w:rPr>
                <w:rFonts w:cs="Arial"/>
                <w:kern w:val="2"/>
                <w:sz w:val="20"/>
                <w:lang w:eastAsia="de-DE"/>
                <w14:ligatures w14:val="standardContextual"/>
              </w:rPr>
            </w:pPr>
            <w:r>
              <w:rPr>
                <w:rFonts w:cs="Arial"/>
                <w:kern w:val="2"/>
                <w:sz w:val="20"/>
                <w:vertAlign w:val="superscript"/>
                <w:lang w:eastAsia="de-DE"/>
                <w14:ligatures w14:val="standardContextual"/>
              </w:rPr>
              <w:t>1</w:t>
            </w:r>
            <w:r w:rsidRPr="00CD5C3E">
              <w:rPr>
                <w:rFonts w:cs="Arial"/>
                <w:kern w:val="2"/>
                <w:sz w:val="20"/>
                <w:lang w:eastAsia="de-DE"/>
                <w14:ligatures w14:val="standardContextual"/>
              </w:rPr>
              <w:t xml:space="preserve"> Das EVU entrichtet der Gemeinde eine Konzessionsabgabe für das Recht, den   öffentlichen Grund im Bereich der Stromversorgung zu nutzen. Diese Abgabe erfolgt zusätzlich zu den Pachtzahlungen, wie sie im Pachtvertrag geregelt sind.</w:t>
            </w:r>
          </w:p>
          <w:p w14:paraId="4C127FD8" w14:textId="781F2489" w:rsidR="00CD5C3E" w:rsidRPr="00CD5C3E" w:rsidRDefault="00CD5C3E" w:rsidP="00C515CB">
            <w:pPr>
              <w:overflowPunct/>
              <w:autoSpaceDE/>
              <w:autoSpaceDN/>
              <w:adjustRightInd/>
              <w:snapToGrid w:val="0"/>
              <w:spacing w:beforeLines="120" w:before="288"/>
              <w:ind w:left="44" w:hanging="44"/>
              <w:jc w:val="both"/>
              <w:textAlignment w:val="auto"/>
              <w:rPr>
                <w:rFonts w:cs="Arial"/>
                <w:kern w:val="2"/>
                <w:sz w:val="20"/>
                <w:lang w:eastAsia="de-DE"/>
                <w14:ligatures w14:val="standardContextual"/>
              </w:rPr>
            </w:pPr>
            <w:r>
              <w:rPr>
                <w:rFonts w:cs="Arial"/>
                <w:kern w:val="2"/>
                <w:sz w:val="20"/>
                <w:vertAlign w:val="superscript"/>
                <w:lang w:eastAsia="de-DE"/>
                <w14:ligatures w14:val="standardContextual"/>
              </w:rPr>
              <w:t>2</w:t>
            </w:r>
            <w:r w:rsidRPr="00CD5C3E">
              <w:rPr>
                <w:rFonts w:cs="Arial"/>
                <w:kern w:val="2"/>
                <w:sz w:val="20"/>
                <w:lang w:eastAsia="de-DE"/>
                <w14:ligatures w14:val="standardContextual"/>
              </w:rPr>
              <w:t>Die Konzessionsabgabe beträgt 1.0 bis 2.5 Rappen pro Kilowattstunde der aus dem Verteilnetz an Endkundinnen und Endkunden ausgespeisten Energie. Sie ist auf maximal 300 CHF pro Zähler und Jahr beschränkt.</w:t>
            </w:r>
          </w:p>
          <w:p w14:paraId="7CBF6D70" w14:textId="7DD997BC" w:rsidR="00CD5C3E" w:rsidRPr="00CD5C3E" w:rsidRDefault="00CD5C3E" w:rsidP="00CD5C3E">
            <w:pPr>
              <w:overflowPunct/>
              <w:autoSpaceDE/>
              <w:autoSpaceDN/>
              <w:adjustRightInd/>
              <w:snapToGrid w:val="0"/>
              <w:spacing w:beforeLines="120" w:before="288"/>
              <w:ind w:left="44" w:right="-284" w:hanging="44"/>
              <w:textAlignment w:val="auto"/>
              <w:rPr>
                <w:rFonts w:cs="Arial"/>
                <w:kern w:val="2"/>
                <w:sz w:val="20"/>
                <w:lang w:eastAsia="de-DE"/>
                <w14:ligatures w14:val="standardContextual"/>
              </w:rPr>
            </w:pPr>
            <w:r>
              <w:rPr>
                <w:rFonts w:cs="Arial"/>
                <w:kern w:val="2"/>
                <w:sz w:val="20"/>
                <w:vertAlign w:val="superscript"/>
                <w:lang w:eastAsia="de-DE"/>
                <w14:ligatures w14:val="standardContextual"/>
              </w:rPr>
              <w:t>3</w:t>
            </w:r>
            <w:r w:rsidRPr="00CD5C3E">
              <w:rPr>
                <w:rFonts w:cs="Arial"/>
                <w:kern w:val="2"/>
                <w:sz w:val="20"/>
                <w:lang w:eastAsia="de-DE"/>
                <w14:ligatures w14:val="standardContextual"/>
              </w:rPr>
              <w:t xml:space="preserve"> Das EVU verrechnet diese Abgabe anteilsmässig den Endkundinnen und Endkunden als Bestandteil des Netznutzungsentgelts, gemäss den Bestimmungen des Stromversorgungsgesetzes.</w:t>
            </w:r>
          </w:p>
          <w:p w14:paraId="56D65813" w14:textId="2CDA5656" w:rsidR="00CD5C3E" w:rsidRPr="00CD5C3E" w:rsidRDefault="00CD5C3E" w:rsidP="00C515CB">
            <w:pPr>
              <w:overflowPunct/>
              <w:autoSpaceDE/>
              <w:autoSpaceDN/>
              <w:adjustRightInd/>
              <w:snapToGrid w:val="0"/>
              <w:spacing w:beforeLines="120" w:before="288"/>
              <w:ind w:left="44" w:hanging="44"/>
              <w:jc w:val="both"/>
              <w:textAlignment w:val="auto"/>
              <w:rPr>
                <w:rFonts w:cs="Arial"/>
                <w:kern w:val="2"/>
                <w:sz w:val="20"/>
                <w:lang w:eastAsia="de-DE"/>
                <w14:ligatures w14:val="standardContextual"/>
              </w:rPr>
            </w:pPr>
            <w:r>
              <w:rPr>
                <w:rFonts w:cs="Arial"/>
                <w:kern w:val="2"/>
                <w:sz w:val="20"/>
                <w:vertAlign w:val="superscript"/>
                <w:lang w:eastAsia="de-DE"/>
                <w14:ligatures w14:val="standardContextual"/>
              </w:rPr>
              <w:t xml:space="preserve">4 </w:t>
            </w:r>
            <w:r w:rsidRPr="00CD5C3E">
              <w:rPr>
                <w:rFonts w:cs="Arial"/>
                <w:kern w:val="2"/>
                <w:sz w:val="20"/>
                <w:lang w:eastAsia="de-DE"/>
                <w14:ligatures w14:val="standardContextual"/>
              </w:rPr>
              <w:t>Die Gemeinde schliesst mit dem EVU einen Konzessionsvertrag ab und legt die genaue Höhe der Konzessionsabgabe innerhalb der oben genannten Bandbreite fest.</w:t>
            </w:r>
          </w:p>
          <w:p w14:paraId="77FDAA70" w14:textId="536609D3" w:rsidR="00CD5C3E" w:rsidRPr="00CD5C3E" w:rsidRDefault="00CD5C3E" w:rsidP="00C515CB">
            <w:pPr>
              <w:overflowPunct/>
              <w:autoSpaceDE/>
              <w:autoSpaceDN/>
              <w:adjustRightInd/>
              <w:snapToGrid w:val="0"/>
              <w:spacing w:beforeLines="120" w:before="288"/>
              <w:ind w:left="44" w:hanging="44"/>
              <w:jc w:val="both"/>
              <w:textAlignment w:val="auto"/>
              <w:rPr>
                <w:rFonts w:cs="Arial"/>
                <w:kern w:val="2"/>
                <w:sz w:val="20"/>
                <w:lang w:eastAsia="de-DE"/>
                <w14:ligatures w14:val="standardContextual"/>
              </w:rPr>
            </w:pPr>
            <w:r>
              <w:rPr>
                <w:rFonts w:cs="Arial"/>
                <w:kern w:val="2"/>
                <w:sz w:val="20"/>
                <w:vertAlign w:val="superscript"/>
                <w:lang w:eastAsia="de-DE"/>
                <w14:ligatures w14:val="standardContextual"/>
              </w:rPr>
              <w:t>5</w:t>
            </w:r>
            <w:r w:rsidRPr="00CD5C3E">
              <w:rPr>
                <w:rFonts w:cs="Arial"/>
                <w:kern w:val="2"/>
                <w:sz w:val="20"/>
                <w:lang w:eastAsia="de-DE"/>
                <w14:ligatures w14:val="standardContextual"/>
              </w:rPr>
              <w:t xml:space="preserve"> </w:t>
            </w:r>
            <w:r w:rsidRPr="00CD5C3E">
              <w:rPr>
                <w:rFonts w:cs="Arial"/>
                <w:kern w:val="2"/>
                <w:sz w:val="20"/>
                <w:lang w:eastAsia="de-CH"/>
                <w14:ligatures w14:val="standardContextual"/>
              </w:rPr>
              <w:t>Allfällige Änderungen der Abgabe treten mit dem Beginn des darauffolgenden Kalenderjahres in Kraft und müssen das EVU spätestens per 31. Juli des Vorjahres mitgeteilt werden.</w:t>
            </w:r>
          </w:p>
          <w:p w14:paraId="1AF25E87" w14:textId="77777777" w:rsidR="00C16FDE" w:rsidRDefault="00C16FDE" w:rsidP="00CD5C3E">
            <w:pPr>
              <w:rPr>
                <w:position w:val="6"/>
                <w:sz w:val="20"/>
              </w:rPr>
            </w:pPr>
          </w:p>
        </w:tc>
      </w:tr>
      <w:tr w:rsidR="00C16FDE" w14:paraId="7A7F96A7" w14:textId="77777777" w:rsidTr="00923B34">
        <w:trPr>
          <w:cantSplit/>
        </w:trPr>
        <w:tc>
          <w:tcPr>
            <w:tcW w:w="2749" w:type="dxa"/>
          </w:tcPr>
          <w:p w14:paraId="164A7F64" w14:textId="401CAF4C" w:rsidR="00C16FDE" w:rsidRDefault="00F92050" w:rsidP="00C16FDE">
            <w:pPr>
              <w:rPr>
                <w:sz w:val="20"/>
              </w:rPr>
            </w:pPr>
            <w:r>
              <w:rPr>
                <w:sz w:val="20"/>
              </w:rPr>
              <w:t>Verwendung</w:t>
            </w:r>
            <w:r w:rsidR="00923B34">
              <w:rPr>
                <w:sz w:val="20"/>
              </w:rPr>
              <w:t xml:space="preserve">               </w:t>
            </w:r>
            <w:r w:rsidR="00923B34" w:rsidRPr="00923B34">
              <w:rPr>
                <w:b/>
                <w:bCs/>
                <w:sz w:val="20"/>
              </w:rPr>
              <w:t>Art.3</w:t>
            </w:r>
          </w:p>
        </w:tc>
        <w:tc>
          <w:tcPr>
            <w:tcW w:w="167" w:type="dxa"/>
          </w:tcPr>
          <w:p w14:paraId="4305E95B" w14:textId="5E2FD5EE" w:rsidR="00C16FDE" w:rsidRDefault="00C16FDE" w:rsidP="00C16FDE">
            <w:pPr>
              <w:rPr>
                <w:b/>
                <w:sz w:val="20"/>
              </w:rPr>
            </w:pPr>
          </w:p>
        </w:tc>
        <w:tc>
          <w:tcPr>
            <w:tcW w:w="6237" w:type="dxa"/>
          </w:tcPr>
          <w:p w14:paraId="57D7E86E" w14:textId="58C597AA" w:rsidR="00F92050" w:rsidRPr="00F92050" w:rsidRDefault="00F92050" w:rsidP="00F92050">
            <w:pPr>
              <w:overflowPunct/>
              <w:autoSpaceDE/>
              <w:autoSpaceDN/>
              <w:adjustRightInd/>
              <w:snapToGrid w:val="0"/>
              <w:spacing w:beforeLines="120" w:before="288"/>
              <w:ind w:left="186" w:hanging="142"/>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1</w:t>
            </w:r>
            <w:r w:rsidRPr="00F92050">
              <w:rPr>
                <w:rFonts w:cs="Arial"/>
                <w:kern w:val="2"/>
                <w:sz w:val="20"/>
                <w:lang w:eastAsia="de-CH"/>
                <w14:ligatures w14:val="standardContextual"/>
              </w:rPr>
              <w:t xml:space="preserve">Die Konzessionsabgabe wird von der Gemeinde für Projekte verwendet, die den Bürgerinnen und Bürgern direkt zugutekommen: </w:t>
            </w:r>
          </w:p>
          <w:p w14:paraId="10FCAAB1" w14:textId="3C6E1FA9" w:rsidR="00F92050" w:rsidRPr="00F92050" w:rsidRDefault="00F92050" w:rsidP="00C515CB">
            <w:pPr>
              <w:overflowPunct/>
              <w:autoSpaceDE/>
              <w:autoSpaceDN/>
              <w:adjustRightInd/>
              <w:snapToGrid w:val="0"/>
              <w:ind w:left="356" w:hanging="152"/>
              <w:jc w:val="both"/>
              <w:textAlignment w:val="auto"/>
              <w:rPr>
                <w:rFonts w:eastAsiaTheme="minorHAnsi" w:cs="Arial"/>
                <w:bCs/>
                <w:sz w:val="20"/>
                <w:lang w:eastAsia="de-CH"/>
              </w:rPr>
            </w:pPr>
            <w:r w:rsidRPr="00F92050">
              <w:rPr>
                <w:rFonts w:eastAsiaTheme="minorHAnsi" w:cs="Arial"/>
                <w:sz w:val="20"/>
                <w:lang w:eastAsia="de-CH"/>
              </w:rPr>
              <w:t>a.</w:t>
            </w:r>
            <w:r w:rsidRPr="00F92050">
              <w:rPr>
                <w:rFonts w:eastAsiaTheme="minorHAnsi" w:cs="Arial"/>
                <w:bCs/>
                <w:sz w:val="20"/>
                <w:lang w:eastAsia="de-CH"/>
              </w:rPr>
              <w:t xml:space="preserve">Förderung für Private: Diese werden in einer Verordnung geregelt und werden periodisch den Bedürfnissen angepasst. </w:t>
            </w:r>
          </w:p>
          <w:p w14:paraId="482CFCE6" w14:textId="77777777" w:rsidR="00F92050" w:rsidRPr="00F92050" w:rsidRDefault="00F92050" w:rsidP="002524FD">
            <w:pPr>
              <w:overflowPunct/>
              <w:autoSpaceDE/>
              <w:autoSpaceDN/>
              <w:adjustRightInd/>
              <w:snapToGrid w:val="0"/>
              <w:ind w:left="356" w:hanging="152"/>
              <w:jc w:val="both"/>
              <w:textAlignment w:val="auto"/>
              <w:rPr>
                <w:rFonts w:eastAsiaTheme="minorHAnsi" w:cs="Arial"/>
                <w:bCs/>
                <w:sz w:val="20"/>
                <w:lang w:eastAsia="de-CH"/>
              </w:rPr>
            </w:pPr>
            <w:r w:rsidRPr="00F92050">
              <w:rPr>
                <w:rFonts w:eastAsiaTheme="minorHAnsi" w:cs="Arial"/>
                <w:bCs/>
                <w:sz w:val="20"/>
                <w:lang w:eastAsia="de-CH"/>
              </w:rPr>
              <w:t>b. Gemeindeprojekte: Finanzielle Unterstützung für Projekte, die von öffentlichem Interesse sind und zu einer Verbesserung der Energieeffizienz, Senkung der CO</w:t>
            </w:r>
            <w:r w:rsidRPr="00F92050">
              <w:rPr>
                <w:rFonts w:ascii="Cambria Math" w:eastAsiaTheme="minorHAnsi" w:hAnsi="Cambria Math" w:cs="Cambria Math"/>
                <w:bCs/>
                <w:sz w:val="20"/>
                <w:lang w:eastAsia="de-CH"/>
              </w:rPr>
              <w:t>₂</w:t>
            </w:r>
            <w:r w:rsidRPr="00F92050">
              <w:rPr>
                <w:rFonts w:eastAsiaTheme="minorHAnsi" w:cs="Arial"/>
                <w:bCs/>
                <w:sz w:val="20"/>
                <w:lang w:eastAsia="de-CH"/>
              </w:rPr>
              <w:t>-Emissionen oder Nachhaltigkeit der Gemeinde beitragen.</w:t>
            </w:r>
          </w:p>
          <w:p w14:paraId="00EEF107" w14:textId="2F582D79" w:rsidR="00F92050" w:rsidRPr="00F92050" w:rsidRDefault="00F92050" w:rsidP="00F92050">
            <w:pPr>
              <w:overflowPunct/>
              <w:autoSpaceDE/>
              <w:autoSpaceDN/>
              <w:adjustRightInd/>
              <w:snapToGrid w:val="0"/>
              <w:spacing w:beforeLines="120" w:before="288"/>
              <w:ind w:left="44" w:hanging="6"/>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2</w:t>
            </w:r>
            <w:r w:rsidRPr="00F92050">
              <w:rPr>
                <w:rFonts w:cs="Arial"/>
                <w:kern w:val="2"/>
                <w:sz w:val="20"/>
                <w:lang w:eastAsia="de-CH"/>
                <w14:ligatures w14:val="standardContextual"/>
              </w:rPr>
              <w:t>Der Gemeinderat entscheidet bei Bedarf über die Verwendung der Konzessionsabgabe und berücksichtigt dabei die Bedürfnisse der Gemeinde und ihrer Einwohner</w:t>
            </w:r>
            <w:r w:rsidRPr="00F92050">
              <w:rPr>
                <w:rFonts w:cs="Arial"/>
                <w:strike/>
                <w:kern w:val="2"/>
                <w:sz w:val="20"/>
                <w:lang w:eastAsia="de-CH"/>
                <w14:ligatures w14:val="standardContextual"/>
              </w:rPr>
              <w:t>.</w:t>
            </w:r>
          </w:p>
          <w:p w14:paraId="3885A7B5" w14:textId="77777777" w:rsidR="00C16FDE" w:rsidRDefault="00C16FDE" w:rsidP="00F92050">
            <w:pPr>
              <w:rPr>
                <w:position w:val="6"/>
                <w:sz w:val="20"/>
              </w:rPr>
            </w:pPr>
          </w:p>
        </w:tc>
      </w:tr>
      <w:tr w:rsidR="00C16FDE" w14:paraId="188A91A0" w14:textId="77777777" w:rsidTr="00923B34">
        <w:trPr>
          <w:cantSplit/>
        </w:trPr>
        <w:tc>
          <w:tcPr>
            <w:tcW w:w="2749" w:type="dxa"/>
          </w:tcPr>
          <w:p w14:paraId="0BC384F3" w14:textId="56A93EEB" w:rsidR="00C16FDE" w:rsidRDefault="004A2BB0" w:rsidP="00C16FDE">
            <w:pPr>
              <w:rPr>
                <w:sz w:val="20"/>
              </w:rPr>
            </w:pPr>
            <w:r>
              <w:rPr>
                <w:sz w:val="20"/>
              </w:rPr>
              <w:lastRenderedPageBreak/>
              <w:t>Fördersubjekte</w:t>
            </w:r>
            <w:r w:rsidR="00C16FDE">
              <w:rPr>
                <w:sz w:val="20"/>
              </w:rPr>
              <w:t xml:space="preserve"> </w:t>
            </w:r>
            <w:r w:rsidR="00923B34">
              <w:rPr>
                <w:sz w:val="20"/>
              </w:rPr>
              <w:t xml:space="preserve">      </w:t>
            </w:r>
            <w:r w:rsidR="00923B34" w:rsidRPr="00923B34">
              <w:rPr>
                <w:b/>
                <w:bCs/>
                <w:sz w:val="20"/>
              </w:rPr>
              <w:t>Art. 4</w:t>
            </w:r>
          </w:p>
        </w:tc>
        <w:tc>
          <w:tcPr>
            <w:tcW w:w="167" w:type="dxa"/>
          </w:tcPr>
          <w:p w14:paraId="66D0108D" w14:textId="77777777" w:rsidR="00C16FDE" w:rsidRDefault="00C16FDE" w:rsidP="00923B34">
            <w:pPr>
              <w:ind w:left="-633" w:hanging="350"/>
              <w:rPr>
                <w:sz w:val="20"/>
              </w:rPr>
            </w:pPr>
            <w:r>
              <w:rPr>
                <w:b/>
                <w:sz w:val="20"/>
              </w:rPr>
              <w:t>Art. 4</w:t>
            </w:r>
          </w:p>
        </w:tc>
        <w:tc>
          <w:tcPr>
            <w:tcW w:w="6237" w:type="dxa"/>
          </w:tcPr>
          <w:p w14:paraId="5ADC2C8F" w14:textId="38245D64" w:rsidR="004A2BB0" w:rsidRPr="004A2BB0" w:rsidRDefault="004A2BB0" w:rsidP="004A2BB0">
            <w:pPr>
              <w:snapToGrid w:val="0"/>
              <w:spacing w:beforeLines="120" w:before="288"/>
              <w:ind w:left="498" w:hanging="498"/>
              <w:jc w:val="both"/>
              <w:rPr>
                <w:rFonts w:cs="Arial"/>
                <w:kern w:val="2"/>
                <w:sz w:val="20"/>
                <w:lang w:eastAsia="de-CH"/>
                <w14:ligatures w14:val="standardContextual"/>
              </w:rPr>
            </w:pPr>
            <w:r w:rsidRPr="004A2BB0">
              <w:rPr>
                <w:rFonts w:cs="Arial"/>
                <w:kern w:val="2"/>
                <w:sz w:val="20"/>
                <w:lang w:eastAsia="de-CH"/>
                <w14:ligatures w14:val="standardContextual"/>
              </w:rPr>
              <w:t xml:space="preserve">Förderberechtigt sind: </w:t>
            </w:r>
          </w:p>
          <w:p w14:paraId="4BA6594B" w14:textId="77777777" w:rsidR="004A2BB0" w:rsidRPr="004A2BB0" w:rsidRDefault="004A2BB0" w:rsidP="004A2BB0">
            <w:pPr>
              <w:overflowPunct/>
              <w:autoSpaceDE/>
              <w:autoSpaceDN/>
              <w:adjustRightInd/>
              <w:snapToGrid w:val="0"/>
              <w:ind w:left="498" w:hanging="498"/>
              <w:textAlignment w:val="auto"/>
              <w:rPr>
                <w:rFonts w:eastAsiaTheme="minorHAnsi" w:cs="Arial"/>
                <w:sz w:val="20"/>
                <w:lang w:eastAsia="de-CH"/>
              </w:rPr>
            </w:pPr>
            <w:r w:rsidRPr="004A2BB0">
              <w:rPr>
                <w:rFonts w:eastAsiaTheme="minorHAnsi" w:cs="Arial"/>
                <w:sz w:val="20"/>
                <w:lang w:eastAsia="de-CH"/>
              </w:rPr>
              <w:t xml:space="preserve">a. Privatpersonen mit Wohnsitz in Twann-Tüscherz. </w:t>
            </w:r>
          </w:p>
          <w:p w14:paraId="47BC68F0" w14:textId="77777777" w:rsidR="004A2BB0" w:rsidRPr="004A2BB0" w:rsidRDefault="004A2BB0" w:rsidP="004A2BB0">
            <w:pPr>
              <w:overflowPunct/>
              <w:autoSpaceDE/>
              <w:autoSpaceDN/>
              <w:adjustRightInd/>
              <w:snapToGrid w:val="0"/>
              <w:ind w:left="498" w:hanging="498"/>
              <w:textAlignment w:val="auto"/>
              <w:rPr>
                <w:rFonts w:eastAsiaTheme="minorHAnsi" w:cs="Arial"/>
                <w:sz w:val="20"/>
                <w:lang w:eastAsia="de-CH"/>
              </w:rPr>
            </w:pPr>
            <w:r w:rsidRPr="004A2BB0">
              <w:rPr>
                <w:rFonts w:eastAsiaTheme="minorHAnsi" w:cs="Arial"/>
                <w:sz w:val="20"/>
                <w:lang w:eastAsia="de-CH"/>
              </w:rPr>
              <w:t xml:space="preserve">b. Unternehmen und Institutionen mit Sitz in der Gemeinde. </w:t>
            </w:r>
          </w:p>
          <w:p w14:paraId="22129F19" w14:textId="77777777" w:rsidR="004A2BB0" w:rsidRPr="004A2BB0" w:rsidRDefault="004A2BB0" w:rsidP="004A2BB0">
            <w:pPr>
              <w:overflowPunct/>
              <w:autoSpaceDE/>
              <w:autoSpaceDN/>
              <w:adjustRightInd/>
              <w:snapToGrid w:val="0"/>
              <w:ind w:left="214" w:hanging="214"/>
              <w:textAlignment w:val="auto"/>
              <w:rPr>
                <w:rFonts w:eastAsiaTheme="minorHAnsi" w:cs="Arial"/>
                <w:sz w:val="20"/>
                <w:lang w:eastAsia="de-CH"/>
              </w:rPr>
            </w:pPr>
            <w:r w:rsidRPr="004A2BB0">
              <w:rPr>
                <w:rFonts w:eastAsiaTheme="minorHAnsi" w:cs="Arial"/>
                <w:sz w:val="20"/>
                <w:lang w:eastAsia="de-CH"/>
              </w:rPr>
              <w:t>c. Projekte der Gemeinde, die innerhalb des Gemeindegebiets durchgeführt werden und dem öffentlichen oder gemeinschaftlichen Interesse dienen.</w:t>
            </w:r>
          </w:p>
          <w:p w14:paraId="64CFF22D" w14:textId="77777777" w:rsidR="00C16FDE" w:rsidRDefault="00C16FDE" w:rsidP="004A2BB0">
            <w:pPr>
              <w:rPr>
                <w:sz w:val="20"/>
              </w:rPr>
            </w:pPr>
          </w:p>
        </w:tc>
      </w:tr>
      <w:tr w:rsidR="00C16FDE" w14:paraId="68700EF6" w14:textId="77777777" w:rsidTr="00923B34">
        <w:trPr>
          <w:cantSplit/>
          <w:trHeight w:val="3494"/>
        </w:trPr>
        <w:tc>
          <w:tcPr>
            <w:tcW w:w="2749" w:type="dxa"/>
          </w:tcPr>
          <w:p w14:paraId="17016279" w14:textId="6A5FE407" w:rsidR="00C16FDE" w:rsidRDefault="00D872C8" w:rsidP="00C16FDE">
            <w:pPr>
              <w:rPr>
                <w:sz w:val="20"/>
              </w:rPr>
            </w:pPr>
            <w:r>
              <w:rPr>
                <w:sz w:val="20"/>
              </w:rPr>
              <w:t>Antragsverfahren</w:t>
            </w:r>
            <w:r w:rsidR="00923B34">
              <w:rPr>
                <w:sz w:val="20"/>
              </w:rPr>
              <w:t xml:space="preserve">    </w:t>
            </w:r>
            <w:r w:rsidR="00923B34" w:rsidRPr="00923B34">
              <w:rPr>
                <w:b/>
                <w:bCs/>
                <w:sz w:val="20"/>
              </w:rPr>
              <w:t>Art-5</w:t>
            </w:r>
          </w:p>
        </w:tc>
        <w:tc>
          <w:tcPr>
            <w:tcW w:w="167" w:type="dxa"/>
          </w:tcPr>
          <w:p w14:paraId="2B2B6A0A" w14:textId="77777777" w:rsidR="00C16FDE" w:rsidRDefault="00C16FDE" w:rsidP="00923B34">
            <w:pPr>
              <w:ind w:hanging="633"/>
              <w:rPr>
                <w:b/>
                <w:sz w:val="20"/>
              </w:rPr>
            </w:pPr>
            <w:r>
              <w:rPr>
                <w:b/>
                <w:sz w:val="20"/>
              </w:rPr>
              <w:t>Art. 5</w:t>
            </w:r>
          </w:p>
        </w:tc>
        <w:tc>
          <w:tcPr>
            <w:tcW w:w="6237" w:type="dxa"/>
          </w:tcPr>
          <w:p w14:paraId="1B2666A2" w14:textId="77777777" w:rsidR="00D872C8" w:rsidRPr="00D872C8" w:rsidRDefault="00C16FDE" w:rsidP="00D872C8">
            <w:pPr>
              <w:overflowPunct/>
              <w:autoSpaceDE/>
              <w:autoSpaceDN/>
              <w:adjustRightInd/>
              <w:snapToGrid w:val="0"/>
              <w:spacing w:beforeLines="120" w:before="288"/>
              <w:jc w:val="both"/>
              <w:textAlignment w:val="auto"/>
              <w:rPr>
                <w:rFonts w:cs="Arial"/>
                <w:kern w:val="2"/>
                <w:sz w:val="20"/>
                <w:lang w:eastAsia="de-CH"/>
                <w14:ligatures w14:val="standardContextual"/>
              </w:rPr>
            </w:pPr>
            <w:r w:rsidRPr="00FC66F3">
              <w:rPr>
                <w:position w:val="6"/>
                <w:sz w:val="18"/>
                <w:szCs w:val="18"/>
              </w:rPr>
              <w:t>1</w:t>
            </w:r>
            <w:r w:rsidR="00D872C8" w:rsidRPr="00D872C8">
              <w:rPr>
                <w:rFonts w:cs="Arial"/>
                <w:kern w:val="2"/>
                <w:sz w:val="20"/>
                <w:lang w:eastAsia="de-CH"/>
                <w14:ligatures w14:val="standardContextual"/>
              </w:rPr>
              <w:t xml:space="preserve">Anträge müssen vor Beginn der Umsetzung gestellt werden. Nachträgliche Anträge für bereits abgeschlossene Projekte werden nicht berücksichtigt. </w:t>
            </w:r>
          </w:p>
          <w:p w14:paraId="6AA402CE" w14:textId="77777777" w:rsidR="00EA6A97" w:rsidRDefault="00D872C8" w:rsidP="00D872C8">
            <w:pPr>
              <w:overflowPunct/>
              <w:autoSpaceDE/>
              <w:autoSpaceDN/>
              <w:adjustRightInd/>
              <w:snapToGrid w:val="0"/>
              <w:spacing w:beforeLines="120" w:before="288"/>
              <w:contextualSpacing/>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2</w:t>
            </w:r>
            <w:r w:rsidRPr="00D872C8">
              <w:rPr>
                <w:rFonts w:cs="Arial"/>
                <w:kern w:val="2"/>
                <w:sz w:val="20"/>
                <w:lang w:eastAsia="de-CH"/>
                <w14:ligatures w14:val="standardContextual"/>
              </w:rPr>
              <w:t xml:space="preserve">Förderanträge sind schriftlich bei der Gemeindeverwaltung z.H. der Ver- und Entsorgungskommission einzureichen. </w:t>
            </w:r>
          </w:p>
          <w:p w14:paraId="4616A2D4" w14:textId="77777777" w:rsidR="00EA6A97" w:rsidRDefault="00D872C8" w:rsidP="00D872C8">
            <w:pPr>
              <w:overflowPunct/>
              <w:autoSpaceDE/>
              <w:autoSpaceDN/>
              <w:adjustRightInd/>
              <w:snapToGrid w:val="0"/>
              <w:spacing w:beforeLines="120" w:before="288"/>
              <w:contextualSpacing/>
              <w:jc w:val="both"/>
              <w:textAlignment w:val="auto"/>
              <w:rPr>
                <w:rFonts w:cs="Arial"/>
                <w:kern w:val="2"/>
                <w:sz w:val="20"/>
                <w:lang w:eastAsia="de-CH"/>
                <w14:ligatures w14:val="standardContextual"/>
              </w:rPr>
            </w:pPr>
            <w:r w:rsidRPr="00D872C8">
              <w:rPr>
                <w:rFonts w:cs="Arial"/>
                <w:kern w:val="2"/>
                <w:sz w:val="20"/>
                <w:lang w:eastAsia="de-CH"/>
                <w14:ligatures w14:val="standardContextual"/>
              </w:rPr>
              <w:t xml:space="preserve">Die Einzelheiten sind in der Verordnung geregelt. </w:t>
            </w:r>
            <w:r w:rsidRPr="00D872C8">
              <w:rPr>
                <w:rFonts w:cs="Arial"/>
                <w:kern w:val="2"/>
                <w:sz w:val="20"/>
                <w:lang w:eastAsia="de-CH"/>
                <w14:ligatures w14:val="standardContextual"/>
              </w:rPr>
              <w:br/>
            </w:r>
            <w:r>
              <w:rPr>
                <w:rFonts w:cs="Arial"/>
                <w:kern w:val="2"/>
                <w:sz w:val="20"/>
                <w:vertAlign w:val="superscript"/>
                <w:lang w:eastAsia="de-CH"/>
                <w14:ligatures w14:val="standardContextual"/>
              </w:rPr>
              <w:t>3</w:t>
            </w:r>
            <w:r w:rsidRPr="00D872C8">
              <w:rPr>
                <w:rFonts w:cs="Arial"/>
                <w:kern w:val="2"/>
                <w:sz w:val="20"/>
                <w:lang w:eastAsia="de-CH"/>
                <w14:ligatures w14:val="standardContextual"/>
              </w:rPr>
              <w:t xml:space="preserve">Die Ver- und Entsorgungskommission prüft, ob das Projekt den Vorgaben des Reglements und der dazugehörigen Verordnung entspricht und entscheidet über die Vergabe der Beiträge bis </w:t>
            </w:r>
          </w:p>
          <w:p w14:paraId="3AB63D91" w14:textId="310C75F9" w:rsidR="00D872C8" w:rsidRPr="00D872C8" w:rsidRDefault="00D872C8" w:rsidP="00D872C8">
            <w:pPr>
              <w:overflowPunct/>
              <w:autoSpaceDE/>
              <w:autoSpaceDN/>
              <w:adjustRightInd/>
              <w:snapToGrid w:val="0"/>
              <w:spacing w:beforeLines="120" w:before="288"/>
              <w:contextualSpacing/>
              <w:jc w:val="both"/>
              <w:textAlignment w:val="auto"/>
              <w:rPr>
                <w:rFonts w:cs="Arial"/>
                <w:kern w:val="2"/>
                <w:sz w:val="20"/>
                <w:lang w:eastAsia="de-CH"/>
                <w14:ligatures w14:val="standardContextual"/>
              </w:rPr>
            </w:pPr>
            <w:r w:rsidRPr="00D872C8">
              <w:rPr>
                <w:rFonts w:cs="Arial"/>
                <w:kern w:val="2"/>
                <w:sz w:val="20"/>
                <w:lang w:eastAsia="de-CH"/>
                <w14:ligatures w14:val="standardContextual"/>
              </w:rPr>
              <w:t>CHF 2'000.-. Über höhere Beiträge entscheidet der Gemeinderat auf Empfehlung der Kommission.</w:t>
            </w:r>
          </w:p>
          <w:p w14:paraId="3B8FD04F" w14:textId="549CD97C" w:rsidR="00D872C8" w:rsidRDefault="00D872C8" w:rsidP="00D872C8">
            <w:pPr>
              <w:rPr>
                <w:position w:val="6"/>
                <w:sz w:val="20"/>
              </w:rPr>
            </w:pPr>
            <w:r>
              <w:rPr>
                <w:rFonts w:cs="Arial"/>
                <w:kern w:val="2"/>
                <w:sz w:val="20"/>
                <w:vertAlign w:val="superscript"/>
                <w:lang w:eastAsia="de-CH"/>
                <w14:ligatures w14:val="standardContextual"/>
              </w:rPr>
              <w:t>4</w:t>
            </w:r>
            <w:r w:rsidRPr="00D872C8">
              <w:rPr>
                <w:rFonts w:cs="Arial"/>
                <w:kern w:val="2"/>
                <w:sz w:val="20"/>
                <w:lang w:eastAsia="de-CH"/>
                <w14:ligatures w14:val="standardContextual"/>
              </w:rPr>
              <w:t xml:space="preserve">Der Antragsteller hat keinen automatischen Anspruch auf den </w:t>
            </w:r>
          </w:p>
          <w:p w14:paraId="4A16D181" w14:textId="7187A668" w:rsidR="00C16FDE" w:rsidRDefault="00C16FDE" w:rsidP="00C16FDE">
            <w:pPr>
              <w:rPr>
                <w:position w:val="6"/>
                <w:sz w:val="20"/>
              </w:rPr>
            </w:pPr>
          </w:p>
        </w:tc>
      </w:tr>
    </w:tbl>
    <w:p w14:paraId="63EBCDD4" w14:textId="77777777" w:rsidR="00C16FDE" w:rsidRDefault="00C16FDE" w:rsidP="00C16FDE">
      <w:pPr>
        <w:rPr>
          <w:sz w:val="20"/>
        </w:rPr>
      </w:pPr>
    </w:p>
    <w:tbl>
      <w:tblPr>
        <w:tblW w:w="9241" w:type="dxa"/>
        <w:tblInd w:w="131" w:type="dxa"/>
        <w:tblLayout w:type="fixed"/>
        <w:tblCellMar>
          <w:left w:w="70" w:type="dxa"/>
          <w:right w:w="70" w:type="dxa"/>
        </w:tblCellMar>
        <w:tblLook w:val="0000" w:firstRow="0" w:lastRow="0" w:firstColumn="0" w:lastColumn="0" w:noHBand="0" w:noVBand="0"/>
      </w:tblPr>
      <w:tblGrid>
        <w:gridCol w:w="1950"/>
        <w:gridCol w:w="995"/>
        <w:gridCol w:w="6296"/>
      </w:tblGrid>
      <w:tr w:rsidR="00D872C8" w14:paraId="2196903E" w14:textId="77777777" w:rsidTr="00C16FDE">
        <w:trPr>
          <w:cantSplit/>
        </w:trPr>
        <w:tc>
          <w:tcPr>
            <w:tcW w:w="1950" w:type="dxa"/>
          </w:tcPr>
          <w:p w14:paraId="6844196D" w14:textId="6C647798" w:rsidR="00D872C8" w:rsidRDefault="00D872C8" w:rsidP="00D872C8">
            <w:pPr>
              <w:rPr>
                <w:sz w:val="20"/>
              </w:rPr>
            </w:pPr>
            <w:r>
              <w:rPr>
                <w:sz w:val="20"/>
              </w:rPr>
              <w:t>Auszahlung und Überprüfung</w:t>
            </w:r>
          </w:p>
        </w:tc>
        <w:tc>
          <w:tcPr>
            <w:tcW w:w="995" w:type="dxa"/>
          </w:tcPr>
          <w:p w14:paraId="17905B84" w14:textId="6644F59C" w:rsidR="00D872C8" w:rsidRDefault="00D872C8" w:rsidP="00D872C8">
            <w:pPr>
              <w:rPr>
                <w:b/>
                <w:sz w:val="20"/>
              </w:rPr>
            </w:pPr>
            <w:r>
              <w:rPr>
                <w:b/>
                <w:sz w:val="20"/>
              </w:rPr>
              <w:t>Art.6</w:t>
            </w:r>
          </w:p>
        </w:tc>
        <w:tc>
          <w:tcPr>
            <w:tcW w:w="6296" w:type="dxa"/>
          </w:tcPr>
          <w:p w14:paraId="1BDB3994" w14:textId="77777777" w:rsidR="00D872C8" w:rsidRDefault="00D872C8" w:rsidP="00D872C8">
            <w:pPr>
              <w:overflowPunct/>
              <w:autoSpaceDE/>
              <w:autoSpaceDN/>
              <w:adjustRightInd/>
              <w:snapToGrid w:val="0"/>
              <w:spacing w:beforeLines="120" w:before="288"/>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1</w:t>
            </w:r>
            <w:r w:rsidRPr="00D872C8">
              <w:rPr>
                <w:rFonts w:cs="Arial"/>
                <w:kern w:val="2"/>
                <w:sz w:val="20"/>
                <w:lang w:eastAsia="de-CH"/>
                <w14:ligatures w14:val="standardContextual"/>
              </w:rPr>
              <w:t>Die Auszahlung der bewilligten Fördermittel erfolgt nach Abschluss des Projekts und nach Vorlage der entsprechenden Abrechnungsunterlagen.</w:t>
            </w:r>
          </w:p>
          <w:p w14:paraId="723D7011" w14:textId="5507808B" w:rsidR="00D872C8" w:rsidRPr="00D872C8" w:rsidRDefault="00D872C8" w:rsidP="00D872C8">
            <w:pPr>
              <w:overflowPunct/>
              <w:autoSpaceDE/>
              <w:autoSpaceDN/>
              <w:adjustRightInd/>
              <w:snapToGrid w:val="0"/>
              <w:spacing w:beforeLines="120" w:before="288"/>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2</w:t>
            </w:r>
            <w:r w:rsidRPr="00D872C8">
              <w:rPr>
                <w:rFonts w:cs="Arial"/>
                <w:kern w:val="2"/>
                <w:sz w:val="20"/>
                <w:lang w:eastAsia="de-CH"/>
                <w14:ligatures w14:val="standardContextual"/>
              </w:rPr>
              <w:t>Die geförderten Projekte können stichprobenartig auf die Einhaltung der im Antrag gemachten Angaben überprüft werden.</w:t>
            </w:r>
          </w:p>
          <w:p w14:paraId="44E85F23" w14:textId="52B059B1" w:rsidR="00D872C8" w:rsidRDefault="00D872C8" w:rsidP="002524FD">
            <w:pPr>
              <w:jc w:val="both"/>
              <w:rPr>
                <w:sz w:val="20"/>
              </w:rPr>
            </w:pPr>
            <w:r>
              <w:rPr>
                <w:rFonts w:cs="Arial"/>
                <w:kern w:val="2"/>
                <w:sz w:val="20"/>
                <w:vertAlign w:val="superscript"/>
                <w:lang w:eastAsia="de-CH"/>
                <w14:ligatures w14:val="standardContextual"/>
              </w:rPr>
              <w:t>3</w:t>
            </w:r>
            <w:r w:rsidRPr="00D872C8">
              <w:rPr>
                <w:rFonts w:cs="Arial"/>
                <w:kern w:val="2"/>
                <w:sz w:val="20"/>
                <w:lang w:eastAsia="de-CH"/>
                <w14:ligatures w14:val="standardContextual"/>
              </w:rPr>
              <w:t>Wenn falsche Angaben gemacht wurden oder die geförderte Massnahme nicht den Vorgaben entspricht, kann der Gemeinderat die Förderung ganz oder teilweise zurückfordern</w:t>
            </w:r>
          </w:p>
        </w:tc>
      </w:tr>
      <w:tr w:rsidR="00D872C8" w14:paraId="2438C898" w14:textId="77777777" w:rsidTr="00C16FDE">
        <w:trPr>
          <w:cantSplit/>
        </w:trPr>
        <w:tc>
          <w:tcPr>
            <w:tcW w:w="1950" w:type="dxa"/>
          </w:tcPr>
          <w:p w14:paraId="28285BCA" w14:textId="17FA0B94" w:rsidR="00D872C8" w:rsidRDefault="00D872C8" w:rsidP="00D872C8">
            <w:pPr>
              <w:rPr>
                <w:sz w:val="20"/>
              </w:rPr>
            </w:pPr>
          </w:p>
        </w:tc>
        <w:tc>
          <w:tcPr>
            <w:tcW w:w="995" w:type="dxa"/>
          </w:tcPr>
          <w:p w14:paraId="2F560FE1" w14:textId="712D7032" w:rsidR="00D872C8" w:rsidRDefault="00D872C8" w:rsidP="00D872C8">
            <w:pPr>
              <w:rPr>
                <w:b/>
                <w:sz w:val="20"/>
              </w:rPr>
            </w:pPr>
          </w:p>
        </w:tc>
        <w:tc>
          <w:tcPr>
            <w:tcW w:w="6296" w:type="dxa"/>
          </w:tcPr>
          <w:p w14:paraId="44C066E9" w14:textId="77777777" w:rsidR="00D872C8" w:rsidRDefault="00D872C8" w:rsidP="00D872C8">
            <w:pPr>
              <w:rPr>
                <w:position w:val="6"/>
                <w:sz w:val="20"/>
              </w:rPr>
            </w:pPr>
          </w:p>
        </w:tc>
      </w:tr>
      <w:tr w:rsidR="00D872C8" w14:paraId="189E7FBF" w14:textId="77777777" w:rsidTr="00C16FDE">
        <w:trPr>
          <w:cantSplit/>
        </w:trPr>
        <w:tc>
          <w:tcPr>
            <w:tcW w:w="1950" w:type="dxa"/>
          </w:tcPr>
          <w:p w14:paraId="0894DD43" w14:textId="61923790" w:rsidR="00D872C8" w:rsidRDefault="00D872C8" w:rsidP="00D872C8">
            <w:pPr>
              <w:rPr>
                <w:sz w:val="20"/>
              </w:rPr>
            </w:pPr>
            <w:r>
              <w:rPr>
                <w:sz w:val="20"/>
              </w:rPr>
              <w:t>Verhältnis zu einem allfälligen Pachtvertrag</w:t>
            </w:r>
          </w:p>
        </w:tc>
        <w:tc>
          <w:tcPr>
            <w:tcW w:w="995" w:type="dxa"/>
          </w:tcPr>
          <w:p w14:paraId="51F8FD39" w14:textId="77777777" w:rsidR="00D872C8" w:rsidRDefault="00D872C8" w:rsidP="00D872C8">
            <w:pPr>
              <w:rPr>
                <w:b/>
                <w:sz w:val="20"/>
              </w:rPr>
            </w:pPr>
            <w:r>
              <w:rPr>
                <w:b/>
                <w:sz w:val="20"/>
              </w:rPr>
              <w:t>Art. 7</w:t>
            </w:r>
          </w:p>
        </w:tc>
        <w:tc>
          <w:tcPr>
            <w:tcW w:w="6296" w:type="dxa"/>
          </w:tcPr>
          <w:p w14:paraId="0A59092E" w14:textId="17EF952A" w:rsidR="00D872C8" w:rsidRPr="00D872C8" w:rsidRDefault="00D872C8" w:rsidP="00D872C8">
            <w:pPr>
              <w:overflowPunct/>
              <w:autoSpaceDE/>
              <w:autoSpaceDN/>
              <w:adjustRightInd/>
              <w:snapToGrid w:val="0"/>
              <w:spacing w:beforeLines="120" w:before="288"/>
              <w:jc w:val="both"/>
              <w:textAlignment w:val="auto"/>
              <w:rPr>
                <w:rFonts w:cs="Arial"/>
                <w:kern w:val="2"/>
                <w:sz w:val="20"/>
                <w:lang w:eastAsia="de-CH"/>
                <w14:ligatures w14:val="standardContextual"/>
              </w:rPr>
            </w:pPr>
            <w:r w:rsidRPr="00FC66F3">
              <w:rPr>
                <w:position w:val="6"/>
                <w:sz w:val="18"/>
                <w:szCs w:val="18"/>
              </w:rPr>
              <w:t>1</w:t>
            </w:r>
            <w:r w:rsidRPr="00D872C8">
              <w:rPr>
                <w:rFonts w:cs="Arial"/>
                <w:kern w:val="2"/>
                <w:sz w:val="20"/>
                <w:lang w:eastAsia="de-CH"/>
                <w14:ligatures w14:val="standardContextual"/>
              </w:rPr>
              <w:t xml:space="preserve"> Dieses Reglement regelt ausschliesslich die Erhebung und Verwendung der Konzessionsabgabe. Ein Pachtvertrag zwischen der Gemeinde Twann-Tüscherz und dem EVU über das Elektrizitätsnetz bleibt davon unberührt.</w:t>
            </w:r>
          </w:p>
          <w:p w14:paraId="14C1E5E2" w14:textId="59EBD14E" w:rsidR="00D872C8" w:rsidRPr="00D872C8" w:rsidRDefault="00D872C8" w:rsidP="00D872C8">
            <w:pPr>
              <w:overflowPunct/>
              <w:autoSpaceDE/>
              <w:autoSpaceDN/>
              <w:adjustRightInd/>
              <w:snapToGrid w:val="0"/>
              <w:spacing w:beforeLines="120" w:before="288"/>
              <w:jc w:val="both"/>
              <w:textAlignment w:val="auto"/>
              <w:rPr>
                <w:rFonts w:cs="Arial"/>
                <w:kern w:val="2"/>
                <w:sz w:val="20"/>
                <w:lang w:eastAsia="de-CH"/>
                <w14:ligatures w14:val="standardContextual"/>
              </w:rPr>
            </w:pPr>
            <w:r>
              <w:rPr>
                <w:rFonts w:cs="Arial"/>
                <w:kern w:val="2"/>
                <w:sz w:val="20"/>
                <w:vertAlign w:val="superscript"/>
                <w:lang w:eastAsia="de-CH"/>
                <w14:ligatures w14:val="standardContextual"/>
              </w:rPr>
              <w:t>2</w:t>
            </w:r>
            <w:r w:rsidRPr="00D872C8">
              <w:rPr>
                <w:rFonts w:cs="Arial"/>
                <w:kern w:val="2"/>
                <w:sz w:val="20"/>
                <w:lang w:eastAsia="de-CH"/>
                <w14:ligatures w14:val="standardContextual"/>
              </w:rPr>
              <w:t>Im Falle von Widersprüchen zwischen diesem Reglement und dem Pachtvertrag gelten die Bestimmungen des Pachtvertrages. Die Konzessionsabgabe ist jedoch separat zu erheben und zu verwenden, wie es im vorliegenden Reglement festgelegt ist.</w:t>
            </w:r>
          </w:p>
          <w:p w14:paraId="21D54C78" w14:textId="77777777" w:rsidR="00D872C8" w:rsidRDefault="00D872C8" w:rsidP="00D872C8">
            <w:pPr>
              <w:rPr>
                <w:sz w:val="20"/>
              </w:rPr>
            </w:pPr>
          </w:p>
          <w:p w14:paraId="4621C565" w14:textId="77777777" w:rsidR="00D872C8" w:rsidRDefault="00D872C8" w:rsidP="00D872C8">
            <w:pPr>
              <w:rPr>
                <w:position w:val="6"/>
                <w:sz w:val="20"/>
              </w:rPr>
            </w:pPr>
          </w:p>
        </w:tc>
      </w:tr>
      <w:tr w:rsidR="00D872C8" w14:paraId="4904C520" w14:textId="77777777" w:rsidTr="00C16FDE">
        <w:trPr>
          <w:cantSplit/>
        </w:trPr>
        <w:tc>
          <w:tcPr>
            <w:tcW w:w="1950" w:type="dxa"/>
          </w:tcPr>
          <w:p w14:paraId="139783E1" w14:textId="097821FF" w:rsidR="00D872C8" w:rsidRDefault="00D872C8" w:rsidP="00D872C8">
            <w:pPr>
              <w:rPr>
                <w:sz w:val="20"/>
              </w:rPr>
            </w:pPr>
            <w:r>
              <w:rPr>
                <w:sz w:val="20"/>
              </w:rPr>
              <w:t>Inkrafttreten</w:t>
            </w:r>
          </w:p>
        </w:tc>
        <w:tc>
          <w:tcPr>
            <w:tcW w:w="995" w:type="dxa"/>
          </w:tcPr>
          <w:p w14:paraId="36AAF8C6" w14:textId="054003AA" w:rsidR="00D872C8" w:rsidRDefault="00D872C8" w:rsidP="00D872C8">
            <w:pPr>
              <w:rPr>
                <w:b/>
                <w:sz w:val="20"/>
              </w:rPr>
            </w:pPr>
            <w:r>
              <w:rPr>
                <w:b/>
                <w:sz w:val="20"/>
              </w:rPr>
              <w:t>Art. 8</w:t>
            </w:r>
          </w:p>
        </w:tc>
        <w:tc>
          <w:tcPr>
            <w:tcW w:w="6296" w:type="dxa"/>
          </w:tcPr>
          <w:p w14:paraId="761CC6D5" w14:textId="0C015679" w:rsidR="00D872C8" w:rsidRDefault="00D872C8" w:rsidP="00D872C8">
            <w:pPr>
              <w:rPr>
                <w:b/>
                <w:sz w:val="20"/>
                <w:u w:val="single"/>
              </w:rPr>
            </w:pPr>
            <w:r w:rsidRPr="00F62295">
              <w:rPr>
                <w:rFonts w:cs="Arial"/>
                <w:sz w:val="20"/>
              </w:rPr>
              <w:t xml:space="preserve">Dieses Reglement tritt nach der Genehmigung durch die Gemeindeversammlung am </w:t>
            </w:r>
            <w:r w:rsidR="003C4274">
              <w:rPr>
                <w:rFonts w:cs="Arial"/>
                <w:sz w:val="20"/>
              </w:rPr>
              <w:t xml:space="preserve">23.06.2025 </w:t>
            </w:r>
            <w:r w:rsidRPr="00F62295">
              <w:rPr>
                <w:rFonts w:cs="Arial"/>
                <w:sz w:val="20"/>
              </w:rPr>
              <w:t>in Kraft</w:t>
            </w:r>
          </w:p>
        </w:tc>
      </w:tr>
      <w:tr w:rsidR="00D872C8" w14:paraId="171D253B" w14:textId="77777777" w:rsidTr="00C16FDE">
        <w:trPr>
          <w:cantSplit/>
        </w:trPr>
        <w:tc>
          <w:tcPr>
            <w:tcW w:w="1950" w:type="dxa"/>
          </w:tcPr>
          <w:p w14:paraId="65603773" w14:textId="012B4D37" w:rsidR="00D872C8" w:rsidRDefault="00D872C8" w:rsidP="00D872C8">
            <w:pPr>
              <w:rPr>
                <w:sz w:val="20"/>
              </w:rPr>
            </w:pPr>
          </w:p>
        </w:tc>
        <w:tc>
          <w:tcPr>
            <w:tcW w:w="995" w:type="dxa"/>
          </w:tcPr>
          <w:p w14:paraId="373C2FF0" w14:textId="1D3479A4" w:rsidR="00D872C8" w:rsidRDefault="00D872C8" w:rsidP="00D872C8">
            <w:pPr>
              <w:rPr>
                <w:b/>
                <w:sz w:val="20"/>
              </w:rPr>
            </w:pPr>
          </w:p>
        </w:tc>
        <w:tc>
          <w:tcPr>
            <w:tcW w:w="6296" w:type="dxa"/>
          </w:tcPr>
          <w:p w14:paraId="1B07D904" w14:textId="488B25C3" w:rsidR="00D872C8" w:rsidRDefault="00D872C8" w:rsidP="00D872C8">
            <w:pPr>
              <w:rPr>
                <w:position w:val="6"/>
                <w:sz w:val="20"/>
              </w:rPr>
            </w:pPr>
          </w:p>
        </w:tc>
      </w:tr>
      <w:tr w:rsidR="00D872C8" w14:paraId="27B4D22E" w14:textId="77777777" w:rsidTr="00C16FDE">
        <w:trPr>
          <w:cantSplit/>
        </w:trPr>
        <w:tc>
          <w:tcPr>
            <w:tcW w:w="1950" w:type="dxa"/>
          </w:tcPr>
          <w:p w14:paraId="686D19EE" w14:textId="2424F24F" w:rsidR="00D872C8" w:rsidRDefault="00D872C8" w:rsidP="00D872C8">
            <w:pPr>
              <w:rPr>
                <w:sz w:val="20"/>
              </w:rPr>
            </w:pPr>
          </w:p>
        </w:tc>
        <w:tc>
          <w:tcPr>
            <w:tcW w:w="995" w:type="dxa"/>
          </w:tcPr>
          <w:p w14:paraId="3C889E2C" w14:textId="1383035E" w:rsidR="00D872C8" w:rsidRDefault="00D872C8" w:rsidP="00D872C8">
            <w:pPr>
              <w:rPr>
                <w:b/>
                <w:sz w:val="20"/>
              </w:rPr>
            </w:pPr>
          </w:p>
        </w:tc>
        <w:tc>
          <w:tcPr>
            <w:tcW w:w="6296" w:type="dxa"/>
          </w:tcPr>
          <w:p w14:paraId="0FA77EB6" w14:textId="77777777" w:rsidR="00D872C8" w:rsidRDefault="00D872C8" w:rsidP="00D872C8">
            <w:pPr>
              <w:rPr>
                <w:position w:val="6"/>
                <w:sz w:val="20"/>
              </w:rPr>
            </w:pPr>
          </w:p>
        </w:tc>
      </w:tr>
      <w:tr w:rsidR="00D872C8" w14:paraId="57F5C139" w14:textId="77777777" w:rsidTr="00C16FDE">
        <w:trPr>
          <w:cantSplit/>
        </w:trPr>
        <w:tc>
          <w:tcPr>
            <w:tcW w:w="1950" w:type="dxa"/>
          </w:tcPr>
          <w:p w14:paraId="4D0A684A" w14:textId="50E8A8B2" w:rsidR="00D872C8" w:rsidRDefault="00D872C8" w:rsidP="00D872C8">
            <w:pPr>
              <w:rPr>
                <w:sz w:val="20"/>
              </w:rPr>
            </w:pPr>
          </w:p>
        </w:tc>
        <w:tc>
          <w:tcPr>
            <w:tcW w:w="995" w:type="dxa"/>
          </w:tcPr>
          <w:p w14:paraId="234FB38E" w14:textId="38708D47" w:rsidR="00D872C8" w:rsidRDefault="00D872C8" w:rsidP="00D872C8">
            <w:pPr>
              <w:rPr>
                <w:b/>
                <w:sz w:val="20"/>
              </w:rPr>
            </w:pPr>
          </w:p>
        </w:tc>
        <w:tc>
          <w:tcPr>
            <w:tcW w:w="6296" w:type="dxa"/>
          </w:tcPr>
          <w:p w14:paraId="20D9A0AD" w14:textId="77777777" w:rsidR="00D872C8" w:rsidRDefault="00D872C8" w:rsidP="00D872C8">
            <w:pPr>
              <w:rPr>
                <w:position w:val="6"/>
                <w:sz w:val="20"/>
              </w:rPr>
            </w:pPr>
          </w:p>
        </w:tc>
      </w:tr>
      <w:tr w:rsidR="00D872C8" w14:paraId="432E4234" w14:textId="77777777" w:rsidTr="00C16FDE">
        <w:trPr>
          <w:cantSplit/>
        </w:trPr>
        <w:tc>
          <w:tcPr>
            <w:tcW w:w="1950" w:type="dxa"/>
          </w:tcPr>
          <w:p w14:paraId="1CFFCBBB" w14:textId="79169C67" w:rsidR="00D872C8" w:rsidRDefault="00D872C8" w:rsidP="00D872C8">
            <w:pPr>
              <w:rPr>
                <w:sz w:val="20"/>
              </w:rPr>
            </w:pPr>
          </w:p>
        </w:tc>
        <w:tc>
          <w:tcPr>
            <w:tcW w:w="995" w:type="dxa"/>
          </w:tcPr>
          <w:p w14:paraId="1C3797A8" w14:textId="089C8E95" w:rsidR="00D872C8" w:rsidRDefault="00D872C8" w:rsidP="00D872C8">
            <w:pPr>
              <w:rPr>
                <w:b/>
                <w:sz w:val="20"/>
              </w:rPr>
            </w:pPr>
          </w:p>
        </w:tc>
        <w:tc>
          <w:tcPr>
            <w:tcW w:w="6296" w:type="dxa"/>
          </w:tcPr>
          <w:p w14:paraId="755118B8" w14:textId="77777777" w:rsidR="00D872C8" w:rsidRDefault="00D872C8" w:rsidP="00D872C8">
            <w:pPr>
              <w:rPr>
                <w:position w:val="6"/>
                <w:sz w:val="20"/>
              </w:rPr>
            </w:pPr>
          </w:p>
        </w:tc>
      </w:tr>
      <w:tr w:rsidR="00D872C8" w14:paraId="37DB9F2E" w14:textId="77777777" w:rsidTr="00682925">
        <w:trPr>
          <w:cantSplit/>
          <w:trHeight w:val="80"/>
        </w:trPr>
        <w:tc>
          <w:tcPr>
            <w:tcW w:w="1950" w:type="dxa"/>
          </w:tcPr>
          <w:p w14:paraId="60AEAC5D" w14:textId="54301C79" w:rsidR="00D872C8" w:rsidRDefault="00D872C8" w:rsidP="00D872C8">
            <w:pPr>
              <w:rPr>
                <w:sz w:val="20"/>
              </w:rPr>
            </w:pPr>
          </w:p>
        </w:tc>
        <w:tc>
          <w:tcPr>
            <w:tcW w:w="995" w:type="dxa"/>
          </w:tcPr>
          <w:p w14:paraId="28176612" w14:textId="737B170C" w:rsidR="00D872C8" w:rsidRDefault="00D872C8" w:rsidP="00D872C8">
            <w:pPr>
              <w:rPr>
                <w:b/>
                <w:sz w:val="20"/>
              </w:rPr>
            </w:pPr>
          </w:p>
        </w:tc>
        <w:tc>
          <w:tcPr>
            <w:tcW w:w="6296" w:type="dxa"/>
          </w:tcPr>
          <w:p w14:paraId="58E3D7D3" w14:textId="77777777" w:rsidR="00D872C8" w:rsidRDefault="00D872C8" w:rsidP="00D872C8">
            <w:pPr>
              <w:rPr>
                <w:position w:val="6"/>
                <w:sz w:val="20"/>
              </w:rPr>
            </w:pPr>
          </w:p>
        </w:tc>
      </w:tr>
      <w:tr w:rsidR="00D872C8" w14:paraId="5CFCCCA4" w14:textId="77777777" w:rsidTr="00C16FDE">
        <w:trPr>
          <w:cantSplit/>
        </w:trPr>
        <w:tc>
          <w:tcPr>
            <w:tcW w:w="1950" w:type="dxa"/>
          </w:tcPr>
          <w:p w14:paraId="42ABFB1D" w14:textId="1BD361C3" w:rsidR="00D872C8" w:rsidRPr="008014D6" w:rsidRDefault="00D872C8" w:rsidP="00D872C8">
            <w:pPr>
              <w:rPr>
                <w:rFonts w:cs="Arial"/>
                <w:sz w:val="20"/>
              </w:rPr>
            </w:pPr>
          </w:p>
        </w:tc>
        <w:tc>
          <w:tcPr>
            <w:tcW w:w="995" w:type="dxa"/>
          </w:tcPr>
          <w:p w14:paraId="5ACD5BB2" w14:textId="5BE54C3F" w:rsidR="00D872C8" w:rsidRDefault="00D872C8" w:rsidP="00D872C8">
            <w:pPr>
              <w:rPr>
                <w:b/>
                <w:sz w:val="20"/>
              </w:rPr>
            </w:pPr>
          </w:p>
        </w:tc>
        <w:tc>
          <w:tcPr>
            <w:tcW w:w="6296" w:type="dxa"/>
          </w:tcPr>
          <w:p w14:paraId="1343B354" w14:textId="7EA7F0E2" w:rsidR="00D872C8" w:rsidRDefault="00D872C8" w:rsidP="00D872C8">
            <w:pPr>
              <w:rPr>
                <w:sz w:val="20"/>
              </w:rPr>
            </w:pPr>
            <w:r>
              <w:rPr>
                <w:sz w:val="20"/>
              </w:rPr>
              <w:t>.</w:t>
            </w:r>
          </w:p>
          <w:p w14:paraId="27435411" w14:textId="77777777" w:rsidR="00D872C8" w:rsidRPr="008014D6" w:rsidRDefault="00D872C8" w:rsidP="00D872C8">
            <w:pPr>
              <w:rPr>
                <w:sz w:val="20"/>
              </w:rPr>
            </w:pPr>
            <w:r>
              <w:rPr>
                <w:sz w:val="20"/>
              </w:rPr>
              <w:t xml:space="preserve"> </w:t>
            </w:r>
          </w:p>
        </w:tc>
      </w:tr>
      <w:tr w:rsidR="00D872C8" w14:paraId="0AF6E618" w14:textId="77777777" w:rsidTr="00C16FDE">
        <w:trPr>
          <w:cantSplit/>
        </w:trPr>
        <w:tc>
          <w:tcPr>
            <w:tcW w:w="1950" w:type="dxa"/>
          </w:tcPr>
          <w:p w14:paraId="69439FD2" w14:textId="7BDE8D4A" w:rsidR="00D872C8" w:rsidRDefault="00D872C8" w:rsidP="00D872C8">
            <w:pPr>
              <w:rPr>
                <w:sz w:val="20"/>
              </w:rPr>
            </w:pPr>
          </w:p>
        </w:tc>
        <w:tc>
          <w:tcPr>
            <w:tcW w:w="995" w:type="dxa"/>
          </w:tcPr>
          <w:p w14:paraId="625718DF" w14:textId="109694FE" w:rsidR="00D872C8" w:rsidRDefault="00D872C8" w:rsidP="00D872C8">
            <w:pPr>
              <w:rPr>
                <w:b/>
                <w:sz w:val="20"/>
              </w:rPr>
            </w:pPr>
          </w:p>
        </w:tc>
        <w:tc>
          <w:tcPr>
            <w:tcW w:w="6296" w:type="dxa"/>
          </w:tcPr>
          <w:p w14:paraId="657D1762" w14:textId="54C12433" w:rsidR="00D872C8" w:rsidRDefault="00D872C8" w:rsidP="00D872C8">
            <w:pPr>
              <w:rPr>
                <w:position w:val="6"/>
                <w:sz w:val="20"/>
              </w:rPr>
            </w:pPr>
          </w:p>
        </w:tc>
      </w:tr>
    </w:tbl>
    <w:p w14:paraId="3CE5D1E1" w14:textId="77777777" w:rsidR="00C16FDE" w:rsidRDefault="00C16FDE" w:rsidP="00C16FDE">
      <w:pPr>
        <w:rPr>
          <w:sz w:val="20"/>
        </w:rPr>
      </w:pPr>
    </w:p>
    <w:p w14:paraId="59148CE0" w14:textId="77777777" w:rsidR="001C1390" w:rsidRDefault="001C1390" w:rsidP="0043007A">
      <w:pPr>
        <w:jc w:val="both"/>
        <w:rPr>
          <w:rFonts w:ascii="Times New Roman" w:hAnsi="Times New Roman"/>
          <w:color w:val="1D1D1D"/>
          <w:szCs w:val="22"/>
        </w:rPr>
      </w:pPr>
    </w:p>
    <w:p w14:paraId="046D59BA" w14:textId="77777777" w:rsidR="001C1390" w:rsidRDefault="001C1390" w:rsidP="0043007A">
      <w:pPr>
        <w:jc w:val="both"/>
        <w:rPr>
          <w:rFonts w:ascii="Times New Roman" w:hAnsi="Times New Roman"/>
          <w:color w:val="1D1D1D"/>
          <w:szCs w:val="22"/>
        </w:rPr>
      </w:pPr>
    </w:p>
    <w:p w14:paraId="7217DAB5" w14:textId="77777777" w:rsidR="001C1390" w:rsidRDefault="001C1390" w:rsidP="0043007A">
      <w:pPr>
        <w:jc w:val="both"/>
        <w:rPr>
          <w:rFonts w:ascii="Times New Roman" w:hAnsi="Times New Roman"/>
          <w:color w:val="1D1D1D"/>
          <w:szCs w:val="22"/>
        </w:rPr>
      </w:pPr>
    </w:p>
    <w:p w14:paraId="7E008FF4" w14:textId="3B2E072D" w:rsidR="00A22D94" w:rsidRPr="004B0DF2" w:rsidRDefault="00A22D94" w:rsidP="0043007A">
      <w:pPr>
        <w:jc w:val="both"/>
        <w:rPr>
          <w:rFonts w:ascii="Times New Roman" w:hAnsi="Times New Roman"/>
          <w:color w:val="1D1D1D"/>
          <w:szCs w:val="22"/>
        </w:rPr>
      </w:pPr>
    </w:p>
    <w:p w14:paraId="769F8590" w14:textId="77777777" w:rsidR="00A22D94" w:rsidRDefault="00A22D94" w:rsidP="0043007A">
      <w:pPr>
        <w:jc w:val="both"/>
        <w:rPr>
          <w:rFonts w:ascii="Times New Roman" w:hAnsi="Times New Roman"/>
          <w:color w:val="000000"/>
          <w:szCs w:val="22"/>
        </w:rPr>
        <w:sectPr w:rsidR="00A22D94">
          <w:type w:val="continuous"/>
          <w:pgSz w:w="11900" w:h="16840"/>
          <w:pgMar w:top="1417" w:right="1417" w:bottom="1134" w:left="1417" w:header="708" w:footer="708" w:gutter="0"/>
          <w:cols w:space="708"/>
          <w:docGrid w:linePitch="360"/>
        </w:sectPr>
      </w:pPr>
    </w:p>
    <w:p w14:paraId="60D3E450" w14:textId="7DBF9961" w:rsidR="00A22D94" w:rsidRPr="00682925" w:rsidRDefault="00BD01B5" w:rsidP="0043007A">
      <w:pPr>
        <w:jc w:val="both"/>
        <w:rPr>
          <w:rFonts w:cs="Arial"/>
          <w:color w:val="000000"/>
          <w:sz w:val="20"/>
        </w:rPr>
      </w:pPr>
      <w:r w:rsidRPr="00682925">
        <w:rPr>
          <w:rFonts w:cs="Arial"/>
          <w:color w:val="000000"/>
          <w:sz w:val="20"/>
        </w:rPr>
        <w:t>Beschlossen von der Gemeindeversammlung</w:t>
      </w:r>
    </w:p>
    <w:p w14:paraId="32EE5F02" w14:textId="249F7C27" w:rsidR="00BD01B5" w:rsidRPr="00682925" w:rsidRDefault="00BD01B5" w:rsidP="0043007A">
      <w:pPr>
        <w:jc w:val="both"/>
        <w:rPr>
          <w:rFonts w:cs="Arial"/>
          <w:color w:val="000000"/>
          <w:sz w:val="20"/>
        </w:rPr>
      </w:pPr>
      <w:r w:rsidRPr="00682925">
        <w:rPr>
          <w:rFonts w:cs="Arial"/>
          <w:color w:val="000000"/>
          <w:sz w:val="20"/>
        </w:rPr>
        <w:t xml:space="preserve">am </w:t>
      </w:r>
      <w:r w:rsidR="003C4274">
        <w:rPr>
          <w:rFonts w:cs="Arial"/>
          <w:color w:val="000000"/>
          <w:sz w:val="20"/>
        </w:rPr>
        <w:t>23.06.2025</w:t>
      </w:r>
      <w:r w:rsidRPr="00682925">
        <w:rPr>
          <w:rFonts w:cs="Arial"/>
          <w:color w:val="000000"/>
          <w:sz w:val="20"/>
        </w:rPr>
        <w:t>.</w:t>
      </w:r>
    </w:p>
    <w:p w14:paraId="3BEACCC5" w14:textId="77777777" w:rsidR="00A22D94" w:rsidRPr="00682925" w:rsidRDefault="00A22D94" w:rsidP="0043007A">
      <w:pPr>
        <w:jc w:val="both"/>
        <w:rPr>
          <w:rFonts w:cs="Arial"/>
          <w:color w:val="000000"/>
          <w:sz w:val="20"/>
        </w:rPr>
      </w:pPr>
    </w:p>
    <w:p w14:paraId="3E7E3128" w14:textId="77777777" w:rsidR="00BD01B5" w:rsidRPr="00682925" w:rsidRDefault="00A22D94" w:rsidP="00A3711B">
      <w:pPr>
        <w:jc w:val="both"/>
        <w:rPr>
          <w:rFonts w:cs="Arial"/>
          <w:color w:val="000000"/>
          <w:sz w:val="20"/>
        </w:rPr>
      </w:pPr>
      <w:r w:rsidRPr="00682925">
        <w:rPr>
          <w:rFonts w:cs="Arial"/>
          <w:color w:val="000000"/>
          <w:sz w:val="20"/>
        </w:rPr>
        <w:br w:type="column"/>
      </w:r>
    </w:p>
    <w:p w14:paraId="39BE7723" w14:textId="0A3098DC" w:rsidR="00A22D94" w:rsidRPr="00682925" w:rsidRDefault="00A22D94" w:rsidP="00A3711B">
      <w:pPr>
        <w:jc w:val="both"/>
        <w:rPr>
          <w:rFonts w:cs="Arial"/>
          <w:color w:val="000000"/>
          <w:w w:val="95"/>
          <w:sz w:val="20"/>
        </w:rPr>
      </w:pPr>
      <w:r w:rsidRPr="00682925">
        <w:rPr>
          <w:rFonts w:cs="Arial"/>
          <w:color w:val="000000"/>
          <w:w w:val="95"/>
          <w:sz w:val="20"/>
        </w:rPr>
        <w:t xml:space="preserve">EINWOHNERGEMEINDE TWANN-TÜSCHERZ </w:t>
      </w:r>
    </w:p>
    <w:p w14:paraId="5AED3DD3" w14:textId="77777777" w:rsidR="00A22D94" w:rsidRPr="00682925" w:rsidRDefault="00A22D94" w:rsidP="0043007A">
      <w:pPr>
        <w:jc w:val="both"/>
        <w:rPr>
          <w:rFonts w:cs="Arial"/>
          <w:color w:val="000000"/>
          <w:sz w:val="20"/>
        </w:rPr>
      </w:pPr>
    </w:p>
    <w:p w14:paraId="5A69A5C3" w14:textId="77777777" w:rsidR="00A22D94" w:rsidRPr="00682925" w:rsidRDefault="00A22D94" w:rsidP="0043007A">
      <w:pPr>
        <w:jc w:val="both"/>
        <w:rPr>
          <w:rFonts w:cs="Arial"/>
          <w:color w:val="000000"/>
          <w:sz w:val="20"/>
        </w:rPr>
      </w:pPr>
    </w:p>
    <w:p w14:paraId="22090913" w14:textId="77777777" w:rsidR="00A22D94" w:rsidRPr="00682925" w:rsidRDefault="00A22D94" w:rsidP="0043007A">
      <w:pPr>
        <w:jc w:val="both"/>
        <w:rPr>
          <w:rFonts w:cs="Arial"/>
          <w:color w:val="000000"/>
          <w:sz w:val="20"/>
        </w:rPr>
      </w:pPr>
    </w:p>
    <w:p w14:paraId="4FADF292" w14:textId="156A9912" w:rsidR="00A22D94" w:rsidRPr="00682925" w:rsidRDefault="00A22D94" w:rsidP="0043007A">
      <w:pPr>
        <w:jc w:val="both"/>
        <w:rPr>
          <w:rFonts w:cs="Arial"/>
          <w:color w:val="000000"/>
          <w:sz w:val="20"/>
        </w:rPr>
      </w:pPr>
      <w:r w:rsidRPr="00682925">
        <w:rPr>
          <w:rFonts w:cs="Arial"/>
          <w:color w:val="000000"/>
          <w:sz w:val="20"/>
        </w:rPr>
        <w:t xml:space="preserve">Margrit Bohnenblust      </w:t>
      </w:r>
      <w:r w:rsidR="003C4274">
        <w:rPr>
          <w:rFonts w:cs="Arial"/>
          <w:color w:val="000000"/>
          <w:sz w:val="20"/>
        </w:rPr>
        <w:t xml:space="preserve"> </w:t>
      </w:r>
      <w:r w:rsidRPr="00682925">
        <w:rPr>
          <w:rFonts w:cs="Arial"/>
          <w:color w:val="000000"/>
          <w:sz w:val="20"/>
        </w:rPr>
        <w:t>Bernhard Demmler</w:t>
      </w:r>
    </w:p>
    <w:p w14:paraId="5F3FAE9E" w14:textId="699908F0" w:rsidR="00A22D94" w:rsidRPr="00682925" w:rsidRDefault="00A22D94" w:rsidP="00A3711B">
      <w:pPr>
        <w:rPr>
          <w:rFonts w:cs="Arial"/>
          <w:color w:val="000000"/>
          <w:sz w:val="20"/>
        </w:rPr>
        <w:sectPr w:rsidR="00A22D94" w:rsidRPr="00682925" w:rsidSect="00A3711B">
          <w:type w:val="continuous"/>
          <w:pgSz w:w="11900" w:h="16840"/>
          <w:pgMar w:top="1417" w:right="1417" w:bottom="1134" w:left="1417" w:header="708" w:footer="708" w:gutter="0"/>
          <w:cols w:num="2" w:space="10"/>
          <w:docGrid w:linePitch="360"/>
        </w:sectPr>
      </w:pPr>
      <w:r w:rsidRPr="00682925">
        <w:rPr>
          <w:rFonts w:cs="Arial"/>
          <w:color w:val="000000"/>
          <w:sz w:val="20"/>
        </w:rPr>
        <w:t>Gemeindeprä</w:t>
      </w:r>
      <w:r w:rsidR="00A3711B" w:rsidRPr="00682925">
        <w:rPr>
          <w:rFonts w:cs="Arial"/>
          <w:color w:val="000000"/>
          <w:sz w:val="20"/>
        </w:rPr>
        <w:t xml:space="preserve">sidentin     </w:t>
      </w:r>
      <w:r w:rsidR="004D7A22">
        <w:rPr>
          <w:rFonts w:cs="Arial"/>
          <w:color w:val="000000"/>
          <w:sz w:val="20"/>
        </w:rPr>
        <w:t xml:space="preserve">Stv. </w:t>
      </w:r>
      <w:r w:rsidRPr="00682925">
        <w:rPr>
          <w:rFonts w:cs="Arial"/>
          <w:color w:val="000000"/>
          <w:sz w:val="20"/>
        </w:rPr>
        <w:t>Geschäftsleiter</w:t>
      </w:r>
    </w:p>
    <w:p w14:paraId="291ACC99" w14:textId="77777777" w:rsidR="00A3711B" w:rsidRPr="00682925" w:rsidRDefault="00A3711B" w:rsidP="0043007A">
      <w:pPr>
        <w:jc w:val="both"/>
        <w:rPr>
          <w:rFonts w:cs="Arial"/>
          <w:color w:val="000000"/>
          <w:sz w:val="20"/>
        </w:rPr>
      </w:pPr>
    </w:p>
    <w:p w14:paraId="0427E453" w14:textId="77777777" w:rsidR="00A3711B" w:rsidRDefault="00A3711B" w:rsidP="0043007A">
      <w:pPr>
        <w:jc w:val="both"/>
        <w:rPr>
          <w:rFonts w:cs="Arial"/>
          <w:color w:val="000000"/>
          <w:sz w:val="20"/>
        </w:rPr>
      </w:pPr>
    </w:p>
    <w:p w14:paraId="55932A92" w14:textId="77777777" w:rsidR="006D4F23" w:rsidRPr="00682925" w:rsidRDefault="006D4F23" w:rsidP="0043007A">
      <w:pPr>
        <w:jc w:val="both"/>
        <w:rPr>
          <w:rFonts w:cs="Arial"/>
          <w:color w:val="000000"/>
          <w:sz w:val="20"/>
        </w:rPr>
      </w:pPr>
    </w:p>
    <w:p w14:paraId="096EF65C" w14:textId="77777777" w:rsidR="00A22D94" w:rsidRPr="00682925" w:rsidRDefault="00A22D94" w:rsidP="0043007A">
      <w:pPr>
        <w:jc w:val="both"/>
        <w:rPr>
          <w:rFonts w:cs="Arial"/>
          <w:color w:val="000000"/>
          <w:sz w:val="20"/>
        </w:rPr>
      </w:pPr>
      <w:r w:rsidRPr="00682925">
        <w:rPr>
          <w:rFonts w:cs="Arial"/>
          <w:color w:val="000000"/>
          <w:sz w:val="20"/>
        </w:rPr>
        <w:t xml:space="preserve"> </w:t>
      </w:r>
    </w:p>
    <w:p w14:paraId="00EDCF5D" w14:textId="77777777" w:rsidR="00A22D94" w:rsidRPr="00682925" w:rsidRDefault="00A22D94" w:rsidP="0043007A">
      <w:pPr>
        <w:jc w:val="both"/>
        <w:rPr>
          <w:rFonts w:cs="Arial"/>
          <w:b/>
          <w:color w:val="000000"/>
          <w:sz w:val="20"/>
        </w:rPr>
      </w:pPr>
    </w:p>
    <w:p w14:paraId="3E38CF25" w14:textId="77777777" w:rsidR="00A22D94" w:rsidRPr="00682925" w:rsidRDefault="00A22D94" w:rsidP="0043007A">
      <w:pPr>
        <w:jc w:val="both"/>
        <w:rPr>
          <w:rFonts w:cs="Arial"/>
          <w:color w:val="000000"/>
          <w:sz w:val="20"/>
        </w:rPr>
        <w:sectPr w:rsidR="00A22D94" w:rsidRPr="00682925">
          <w:type w:val="continuous"/>
          <w:pgSz w:w="11900" w:h="16840"/>
          <w:pgMar w:top="1417" w:right="1417" w:bottom="1134" w:left="1417" w:header="708" w:footer="708" w:gutter="0"/>
          <w:cols w:num="2" w:space="709"/>
          <w:docGrid w:linePitch="360"/>
        </w:sectPr>
      </w:pPr>
    </w:p>
    <w:p w14:paraId="246F864D" w14:textId="77777777" w:rsidR="00A22D94" w:rsidRPr="00682925" w:rsidRDefault="00A22D94" w:rsidP="0043007A">
      <w:pPr>
        <w:jc w:val="both"/>
        <w:rPr>
          <w:rFonts w:cs="Arial"/>
          <w:color w:val="000000"/>
          <w:sz w:val="20"/>
        </w:rPr>
      </w:pPr>
      <w:r w:rsidRPr="00682925">
        <w:rPr>
          <w:rFonts w:cs="Arial"/>
          <w:b/>
          <w:color w:val="000000"/>
          <w:sz w:val="20"/>
        </w:rPr>
        <w:t>Auflagezeugnis</w:t>
      </w:r>
      <w:r w:rsidRPr="00682925">
        <w:rPr>
          <w:rFonts w:cs="Arial"/>
          <w:color w:val="000000"/>
          <w:sz w:val="20"/>
        </w:rPr>
        <w:t xml:space="preserve"> </w:t>
      </w:r>
    </w:p>
    <w:p w14:paraId="657FFE54" w14:textId="7A4314E2" w:rsidR="00A22D94" w:rsidRPr="00682925" w:rsidRDefault="00A22D94" w:rsidP="0043007A">
      <w:pPr>
        <w:jc w:val="both"/>
        <w:rPr>
          <w:rFonts w:cs="Arial"/>
          <w:color w:val="000000"/>
          <w:sz w:val="20"/>
        </w:rPr>
      </w:pPr>
      <w:r w:rsidRPr="00682925">
        <w:rPr>
          <w:rFonts w:cs="Arial"/>
          <w:color w:val="000000"/>
          <w:sz w:val="20"/>
        </w:rPr>
        <w:t xml:space="preserve">Der unterzeichnende Geschäftsleiter bescheinigt, dass das </w:t>
      </w:r>
      <w:r w:rsidR="00DD2EDE" w:rsidRPr="00682925">
        <w:rPr>
          <w:rFonts w:cs="Arial"/>
          <w:color w:val="000000"/>
          <w:sz w:val="20"/>
        </w:rPr>
        <w:t>Reglement über die Erhebung und Verwendung der Konzessionsabgabe für die Stromversorgung</w:t>
      </w:r>
      <w:r w:rsidRPr="00682925">
        <w:rPr>
          <w:rFonts w:cs="Arial"/>
          <w:color w:val="000000"/>
          <w:sz w:val="20"/>
        </w:rPr>
        <w:t xml:space="preserve"> vom </w:t>
      </w:r>
      <w:r w:rsidR="00EA6A97">
        <w:rPr>
          <w:rFonts w:cs="Arial"/>
          <w:color w:val="000000"/>
          <w:sz w:val="20"/>
        </w:rPr>
        <w:t xml:space="preserve">24.07.2025 </w:t>
      </w:r>
      <w:r w:rsidRPr="00682925">
        <w:rPr>
          <w:rFonts w:cs="Arial"/>
          <w:color w:val="000000"/>
          <w:sz w:val="20"/>
        </w:rPr>
        <w:t xml:space="preserve">bis zum </w:t>
      </w:r>
      <w:r w:rsidR="00EA6A97">
        <w:rPr>
          <w:rFonts w:cs="Arial"/>
          <w:color w:val="000000"/>
          <w:sz w:val="20"/>
        </w:rPr>
        <w:t>25.08.2025</w:t>
      </w:r>
      <w:r w:rsidRPr="00682925">
        <w:rPr>
          <w:rFonts w:cs="Arial"/>
          <w:color w:val="000000"/>
          <w:sz w:val="20"/>
        </w:rPr>
        <w:t xml:space="preserve"> zur Einsichtnahme in der Gemeindeverwaltung Twann-Tüscherz öffentlich aufgelegt worden ist. Die Auflage wurde vorschriftsgemäss publiziert.</w:t>
      </w:r>
    </w:p>
    <w:p w14:paraId="7A4CCBDB" w14:textId="77777777" w:rsidR="00A22D94" w:rsidRPr="00682925" w:rsidRDefault="00A22D94" w:rsidP="0043007A">
      <w:pPr>
        <w:jc w:val="both"/>
        <w:rPr>
          <w:rFonts w:cs="Arial"/>
          <w:color w:val="000000"/>
          <w:sz w:val="20"/>
        </w:rPr>
      </w:pPr>
    </w:p>
    <w:p w14:paraId="6F358D9D" w14:textId="77777777" w:rsidR="00A22D94" w:rsidRPr="00682925" w:rsidRDefault="00A22D94" w:rsidP="0043007A">
      <w:pPr>
        <w:jc w:val="both"/>
        <w:rPr>
          <w:rFonts w:cs="Arial"/>
          <w:color w:val="000000"/>
          <w:sz w:val="20"/>
        </w:rPr>
      </w:pPr>
      <w:r w:rsidRPr="00682925">
        <w:rPr>
          <w:rFonts w:cs="Arial"/>
          <w:color w:val="000000"/>
          <w:sz w:val="20"/>
        </w:rPr>
        <w:t>Innerhalb der gesetzlichen Frist sind gegen das Reglement und gegen den diesbezüglichen Gemeindeversammlungsbeschluss keine Beschwerden eingegangen.</w:t>
      </w:r>
    </w:p>
    <w:p w14:paraId="7486A004" w14:textId="77777777" w:rsidR="00A22D94" w:rsidRPr="00682925" w:rsidRDefault="00A22D94" w:rsidP="0043007A">
      <w:pPr>
        <w:jc w:val="both"/>
        <w:rPr>
          <w:rFonts w:cs="Arial"/>
          <w:color w:val="000000"/>
          <w:sz w:val="20"/>
        </w:rPr>
      </w:pPr>
    </w:p>
    <w:p w14:paraId="6BB5AD84" w14:textId="40A83607" w:rsidR="00A22D94" w:rsidRPr="00682925" w:rsidRDefault="00A22D94" w:rsidP="0043007A">
      <w:pPr>
        <w:jc w:val="both"/>
        <w:rPr>
          <w:rFonts w:cs="Arial"/>
          <w:color w:val="000000"/>
          <w:sz w:val="20"/>
        </w:rPr>
      </w:pPr>
      <w:r w:rsidRPr="00682925">
        <w:rPr>
          <w:rFonts w:cs="Arial"/>
          <w:color w:val="000000"/>
          <w:sz w:val="20"/>
        </w:rPr>
        <w:t xml:space="preserve">Twann-Tüscherz, </w:t>
      </w:r>
      <w:r w:rsidR="00EA6A97">
        <w:rPr>
          <w:rFonts w:cs="Arial"/>
          <w:color w:val="000000"/>
          <w:sz w:val="20"/>
        </w:rPr>
        <w:t>08.09.2025</w:t>
      </w:r>
      <w:r w:rsidRPr="00682925">
        <w:rPr>
          <w:rFonts w:cs="Arial"/>
          <w:color w:val="000000"/>
          <w:sz w:val="20"/>
        </w:rPr>
        <w:t>.</w:t>
      </w:r>
      <w:r w:rsidRPr="00682925">
        <w:rPr>
          <w:rFonts w:cs="Arial"/>
          <w:color w:val="000000"/>
          <w:sz w:val="20"/>
        </w:rPr>
        <w:tab/>
      </w:r>
      <w:r w:rsidRPr="00682925">
        <w:rPr>
          <w:rFonts w:cs="Arial"/>
          <w:color w:val="000000"/>
          <w:sz w:val="20"/>
        </w:rPr>
        <w:tab/>
      </w:r>
      <w:r w:rsidRPr="00682925">
        <w:rPr>
          <w:rFonts w:cs="Arial"/>
          <w:color w:val="000000"/>
          <w:sz w:val="20"/>
        </w:rPr>
        <w:tab/>
        <w:t xml:space="preserve">Der </w:t>
      </w:r>
      <w:r w:rsidR="004D7A22">
        <w:rPr>
          <w:rFonts w:cs="Arial"/>
          <w:color w:val="000000"/>
          <w:sz w:val="20"/>
        </w:rPr>
        <w:t>Stv.</w:t>
      </w:r>
      <w:r w:rsidRPr="00682925">
        <w:rPr>
          <w:rFonts w:cs="Arial"/>
          <w:color w:val="000000"/>
          <w:sz w:val="20"/>
        </w:rPr>
        <w:t>Geschäftsleiter</w:t>
      </w:r>
    </w:p>
    <w:p w14:paraId="33CE88BB" w14:textId="77777777" w:rsidR="00A22D94" w:rsidRPr="00682925" w:rsidRDefault="00A22D94" w:rsidP="0043007A">
      <w:pPr>
        <w:jc w:val="both"/>
        <w:rPr>
          <w:rFonts w:cs="Arial"/>
          <w:color w:val="000000"/>
          <w:sz w:val="20"/>
        </w:rPr>
      </w:pPr>
    </w:p>
    <w:p w14:paraId="15603771" w14:textId="77777777" w:rsidR="00A22D94" w:rsidRPr="00682925" w:rsidRDefault="00A22D94" w:rsidP="0043007A">
      <w:pPr>
        <w:jc w:val="both"/>
        <w:rPr>
          <w:rFonts w:cs="Arial"/>
          <w:color w:val="000000"/>
          <w:sz w:val="20"/>
        </w:rPr>
      </w:pPr>
    </w:p>
    <w:p w14:paraId="057F2360" w14:textId="4515F4D1" w:rsidR="00A46A65" w:rsidRPr="00682925" w:rsidRDefault="00A46A65" w:rsidP="00A46A65">
      <w:pPr>
        <w:rPr>
          <w:rFonts w:cs="Arial"/>
          <w:color w:val="000000"/>
          <w:sz w:val="20"/>
        </w:rPr>
      </w:pPr>
      <w:r w:rsidRPr="00682925">
        <w:rPr>
          <w:rFonts w:cs="Arial"/>
          <w:color w:val="000000"/>
          <w:sz w:val="20"/>
        </w:rPr>
        <w:tab/>
      </w:r>
      <w:r w:rsidRPr="00682925">
        <w:rPr>
          <w:rFonts w:cs="Arial"/>
          <w:color w:val="000000"/>
          <w:sz w:val="20"/>
        </w:rPr>
        <w:tab/>
      </w:r>
      <w:r w:rsidRPr="00682925">
        <w:rPr>
          <w:rFonts w:cs="Arial"/>
          <w:color w:val="000000"/>
          <w:sz w:val="20"/>
        </w:rPr>
        <w:tab/>
      </w:r>
      <w:r w:rsidRPr="00682925">
        <w:rPr>
          <w:rFonts w:cs="Arial"/>
          <w:color w:val="000000"/>
          <w:sz w:val="20"/>
        </w:rPr>
        <w:tab/>
      </w:r>
      <w:r w:rsidRPr="00682925">
        <w:rPr>
          <w:rFonts w:cs="Arial"/>
          <w:color w:val="000000"/>
          <w:sz w:val="20"/>
        </w:rPr>
        <w:tab/>
      </w:r>
      <w:r w:rsidR="00EA6A97">
        <w:rPr>
          <w:rFonts w:cs="Arial"/>
          <w:color w:val="000000"/>
          <w:sz w:val="20"/>
        </w:rPr>
        <w:tab/>
      </w:r>
      <w:r w:rsidR="00A22D94" w:rsidRPr="00682925">
        <w:rPr>
          <w:rFonts w:cs="Arial"/>
          <w:color w:val="000000"/>
          <w:sz w:val="20"/>
        </w:rPr>
        <w:t xml:space="preserve">Bernhard </w:t>
      </w:r>
      <w:r w:rsidR="00B26B1F" w:rsidRPr="00682925">
        <w:rPr>
          <w:rFonts w:cs="Arial"/>
          <w:color w:val="000000"/>
          <w:sz w:val="20"/>
        </w:rPr>
        <w:t>Demmler</w:t>
      </w:r>
    </w:p>
    <w:p w14:paraId="06859490" w14:textId="77777777" w:rsidR="00C57962" w:rsidRDefault="00C57962" w:rsidP="00A46A65">
      <w:pPr>
        <w:rPr>
          <w:rFonts w:ascii="Times New Roman" w:hAnsi="Times New Roman"/>
          <w:vanish/>
          <w:color w:val="000000"/>
          <w:szCs w:val="22"/>
        </w:rPr>
      </w:pPr>
    </w:p>
    <w:p w14:paraId="1CA0DA92" w14:textId="77777777" w:rsidR="00EA6A97" w:rsidRDefault="00EA6A97" w:rsidP="00A46A65">
      <w:pPr>
        <w:rPr>
          <w:rFonts w:ascii="Times New Roman" w:hAnsi="Times New Roman"/>
          <w:vanish/>
          <w:color w:val="000000"/>
          <w:szCs w:val="22"/>
        </w:rPr>
        <w:sectPr w:rsidR="00EA6A97" w:rsidSect="00C57962">
          <w:type w:val="continuous"/>
          <w:pgSz w:w="11900" w:h="16840"/>
          <w:pgMar w:top="1418" w:right="1418" w:bottom="1134" w:left="1418" w:header="709" w:footer="709" w:gutter="0"/>
          <w:cols w:space="708"/>
          <w:docGrid w:linePitch="360"/>
        </w:sectPr>
      </w:pPr>
    </w:p>
    <w:p w14:paraId="56347CB8" w14:textId="5C6321EB" w:rsidR="009568FF" w:rsidRPr="00FB1247" w:rsidRDefault="009568FF" w:rsidP="00FB1247">
      <w:pPr>
        <w:jc w:val="both"/>
        <w:rPr>
          <w:rFonts w:ascii="Frutiger 45 Light" w:hAnsi="Frutiger 45 Light"/>
          <w:vanish/>
          <w:sz w:val="24"/>
          <w:szCs w:val="24"/>
        </w:rPr>
      </w:pPr>
    </w:p>
    <w:sectPr w:rsidR="009568FF" w:rsidRPr="00FB1247" w:rsidSect="00C57962">
      <w:pgSz w:w="11907" w:h="16840" w:code="9"/>
      <w:pgMar w:top="1276" w:right="794" w:bottom="1134" w:left="1588" w:header="72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63D2" w14:textId="77777777" w:rsidR="00BD01B5" w:rsidRDefault="00BD01B5" w:rsidP="00427782">
      <w:r>
        <w:separator/>
      </w:r>
    </w:p>
  </w:endnote>
  <w:endnote w:type="continuationSeparator" w:id="0">
    <w:p w14:paraId="00648DFC" w14:textId="77777777" w:rsidR="00BD01B5" w:rsidRDefault="00BD01B5" w:rsidP="0042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13C7" w14:textId="77777777" w:rsidR="00BD01B5" w:rsidRDefault="00BD01B5" w:rsidP="00427782">
      <w:r>
        <w:separator/>
      </w:r>
    </w:p>
  </w:footnote>
  <w:footnote w:type="continuationSeparator" w:id="0">
    <w:p w14:paraId="5E672769" w14:textId="77777777" w:rsidR="00BD01B5" w:rsidRDefault="00BD01B5" w:rsidP="0042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5723"/>
    <w:multiLevelType w:val="hybridMultilevel"/>
    <w:tmpl w:val="312A8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E36D11"/>
    <w:multiLevelType w:val="multilevel"/>
    <w:tmpl w:val="498038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97D19"/>
    <w:multiLevelType w:val="multilevel"/>
    <w:tmpl w:val="FCC6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076625"/>
    <w:multiLevelType w:val="multilevel"/>
    <w:tmpl w:val="F06A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60BD0"/>
    <w:multiLevelType w:val="hybridMultilevel"/>
    <w:tmpl w:val="DB84F69C"/>
    <w:lvl w:ilvl="0" w:tplc="FFFFFFFF">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65426174">
    <w:abstractNumId w:val="4"/>
  </w:num>
  <w:num w:numId="2" w16cid:durableId="1963224273">
    <w:abstractNumId w:val="2"/>
  </w:num>
  <w:num w:numId="3" w16cid:durableId="268318951">
    <w:abstractNumId w:val="0"/>
  </w:num>
  <w:num w:numId="4" w16cid:durableId="1881816109">
    <w:abstractNumId w:val="3"/>
  </w:num>
  <w:num w:numId="5" w16cid:durableId="187761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782"/>
    <w:rsid w:val="00001F82"/>
    <w:rsid w:val="00042930"/>
    <w:rsid w:val="000B4E26"/>
    <w:rsid w:val="001C1390"/>
    <w:rsid w:val="002524FD"/>
    <w:rsid w:val="002B762C"/>
    <w:rsid w:val="002D4121"/>
    <w:rsid w:val="0035260D"/>
    <w:rsid w:val="00390EFC"/>
    <w:rsid w:val="003C4274"/>
    <w:rsid w:val="00412A5C"/>
    <w:rsid w:val="00427782"/>
    <w:rsid w:val="0043007A"/>
    <w:rsid w:val="00465FE3"/>
    <w:rsid w:val="004A2BB0"/>
    <w:rsid w:val="004D7A22"/>
    <w:rsid w:val="004E1E68"/>
    <w:rsid w:val="005239FB"/>
    <w:rsid w:val="00537A5D"/>
    <w:rsid w:val="00564E07"/>
    <w:rsid w:val="00591602"/>
    <w:rsid w:val="00614EE4"/>
    <w:rsid w:val="0063025F"/>
    <w:rsid w:val="00643DA4"/>
    <w:rsid w:val="00682925"/>
    <w:rsid w:val="00694D44"/>
    <w:rsid w:val="006D4F23"/>
    <w:rsid w:val="006E2996"/>
    <w:rsid w:val="006F17E4"/>
    <w:rsid w:val="0070083A"/>
    <w:rsid w:val="00712728"/>
    <w:rsid w:val="007B5A05"/>
    <w:rsid w:val="00855191"/>
    <w:rsid w:val="008C1584"/>
    <w:rsid w:val="008E1EB5"/>
    <w:rsid w:val="00923B34"/>
    <w:rsid w:val="009568FF"/>
    <w:rsid w:val="00990093"/>
    <w:rsid w:val="009D43E5"/>
    <w:rsid w:val="009E19FD"/>
    <w:rsid w:val="009F65C7"/>
    <w:rsid w:val="00A17439"/>
    <w:rsid w:val="00A22D94"/>
    <w:rsid w:val="00A3711B"/>
    <w:rsid w:val="00A46A65"/>
    <w:rsid w:val="00AD4C62"/>
    <w:rsid w:val="00AF01A1"/>
    <w:rsid w:val="00AF3E31"/>
    <w:rsid w:val="00B04D29"/>
    <w:rsid w:val="00B15DD1"/>
    <w:rsid w:val="00B204C1"/>
    <w:rsid w:val="00B26B1F"/>
    <w:rsid w:val="00B34535"/>
    <w:rsid w:val="00BD01B5"/>
    <w:rsid w:val="00C16FDE"/>
    <w:rsid w:val="00C249B0"/>
    <w:rsid w:val="00C515CB"/>
    <w:rsid w:val="00C57962"/>
    <w:rsid w:val="00C62D03"/>
    <w:rsid w:val="00C777C5"/>
    <w:rsid w:val="00C96EE8"/>
    <w:rsid w:val="00CA65AC"/>
    <w:rsid w:val="00CD5C3E"/>
    <w:rsid w:val="00D60D89"/>
    <w:rsid w:val="00D72DDC"/>
    <w:rsid w:val="00D872C8"/>
    <w:rsid w:val="00DC43FB"/>
    <w:rsid w:val="00DD2EDE"/>
    <w:rsid w:val="00DF13AA"/>
    <w:rsid w:val="00DF3C0A"/>
    <w:rsid w:val="00E52410"/>
    <w:rsid w:val="00E87DED"/>
    <w:rsid w:val="00EA6A97"/>
    <w:rsid w:val="00F10907"/>
    <w:rsid w:val="00F92050"/>
    <w:rsid w:val="00FB124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4B5E0"/>
  <w15:docId w15:val="{571AAD9A-FC6C-484C-8691-573A99E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782"/>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erschrift1">
    <w:name w:val="heading 1"/>
    <w:basedOn w:val="Standard"/>
    <w:next w:val="Standard"/>
    <w:link w:val="berschrift1Zchn"/>
    <w:qFormat/>
    <w:rsid w:val="00427782"/>
    <w:pPr>
      <w:keepNext/>
      <w:spacing w:before="240" w:after="60"/>
      <w:outlineLvl w:val="0"/>
    </w:pPr>
    <w:rPr>
      <w:b/>
      <w:kern w:val="28"/>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27782"/>
    <w:pPr>
      <w:tabs>
        <w:tab w:val="center" w:pos="4536"/>
        <w:tab w:val="right" w:pos="9072"/>
      </w:tabs>
    </w:pPr>
  </w:style>
  <w:style w:type="character" w:customStyle="1" w:styleId="KopfzeileZchn">
    <w:name w:val="Kopfzeile Zchn"/>
    <w:basedOn w:val="Absatz-Standardschriftart"/>
    <w:link w:val="Kopfzeile"/>
    <w:rsid w:val="00427782"/>
  </w:style>
  <w:style w:type="paragraph" w:styleId="Fuzeile">
    <w:name w:val="footer"/>
    <w:basedOn w:val="Standard"/>
    <w:link w:val="FuzeileZchn"/>
    <w:uiPriority w:val="99"/>
    <w:unhideWhenUsed/>
    <w:rsid w:val="00427782"/>
    <w:pPr>
      <w:tabs>
        <w:tab w:val="center" w:pos="4536"/>
        <w:tab w:val="right" w:pos="9072"/>
      </w:tabs>
    </w:pPr>
  </w:style>
  <w:style w:type="character" w:customStyle="1" w:styleId="FuzeileZchn">
    <w:name w:val="Fußzeile Zchn"/>
    <w:basedOn w:val="Absatz-Standardschriftart"/>
    <w:link w:val="Fuzeile"/>
    <w:uiPriority w:val="99"/>
    <w:rsid w:val="00427782"/>
  </w:style>
  <w:style w:type="character" w:customStyle="1" w:styleId="berschrift1Zchn">
    <w:name w:val="Überschrift 1 Zchn"/>
    <w:basedOn w:val="Absatz-Standardschriftart"/>
    <w:link w:val="berschrift1"/>
    <w:rsid w:val="00427782"/>
    <w:rPr>
      <w:rFonts w:ascii="Arial" w:eastAsia="Times New Roman" w:hAnsi="Arial" w:cs="Times New Roman"/>
      <w:b/>
      <w:kern w:val="28"/>
      <w:sz w:val="28"/>
      <w:szCs w:val="20"/>
      <w:lang w:val="de-DE"/>
    </w:rPr>
  </w:style>
  <w:style w:type="paragraph" w:customStyle="1" w:styleId="GrosserTitel">
    <w:name w:val="Grosser Titel"/>
    <w:basedOn w:val="Standard"/>
    <w:next w:val="Standard"/>
    <w:rsid w:val="00427782"/>
    <w:pPr>
      <w:jc w:val="center"/>
    </w:pPr>
    <w:rPr>
      <w:b/>
      <w:sz w:val="52"/>
      <w:lang w:val="de-DE"/>
    </w:rPr>
  </w:style>
  <w:style w:type="paragraph" w:customStyle="1" w:styleId="Marginale">
    <w:name w:val="Marginale"/>
    <w:basedOn w:val="Standard"/>
    <w:next w:val="Standard"/>
    <w:rsid w:val="00427782"/>
    <w:rPr>
      <w:sz w:val="20"/>
      <w:lang w:val="de-DE"/>
    </w:rPr>
  </w:style>
  <w:style w:type="paragraph" w:styleId="Sprechblasentext">
    <w:name w:val="Balloon Text"/>
    <w:basedOn w:val="Standard"/>
    <w:link w:val="SprechblasentextZchn"/>
    <w:uiPriority w:val="99"/>
    <w:semiHidden/>
    <w:unhideWhenUsed/>
    <w:rsid w:val="0042778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7782"/>
    <w:rPr>
      <w:rFonts w:ascii="Tahoma" w:eastAsia="Times New Roman" w:hAnsi="Tahoma" w:cs="Tahoma"/>
      <w:sz w:val="16"/>
      <w:szCs w:val="16"/>
    </w:rPr>
  </w:style>
  <w:style w:type="paragraph" w:styleId="Listenabsatz">
    <w:name w:val="List Paragraph"/>
    <w:basedOn w:val="Standard"/>
    <w:uiPriority w:val="34"/>
    <w:qFormat/>
    <w:rsid w:val="00A22D94"/>
    <w:pPr>
      <w:overflowPunct/>
      <w:autoSpaceDE/>
      <w:autoSpaceDN/>
      <w:adjustRightInd/>
      <w:ind w:left="720"/>
      <w:contextualSpacing/>
      <w:textAlignment w:val="auto"/>
    </w:pPr>
    <w:rPr>
      <w:rFonts w:asciiTheme="minorHAnsi" w:eastAsiaTheme="minorEastAsia" w:hAnsiTheme="minorHAnsi" w:cstheme="minorBidi"/>
      <w:sz w:val="24"/>
      <w:szCs w:val="24"/>
      <w:lang w:val="de-DE" w:eastAsia="de-DE"/>
    </w:rPr>
  </w:style>
  <w:style w:type="table" w:styleId="Tabellenraster">
    <w:name w:val="Table Grid"/>
    <w:basedOn w:val="NormaleTabelle"/>
    <w:uiPriority w:val="59"/>
    <w:rsid w:val="0095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4684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Demmler</dc:creator>
  <cp:lastModifiedBy>Vonaesch Claudine</cp:lastModifiedBy>
  <cp:revision>16</cp:revision>
  <cp:lastPrinted>2025-09-09T07:57:00Z</cp:lastPrinted>
  <dcterms:created xsi:type="dcterms:W3CDTF">2017-01-25T13:18:00Z</dcterms:created>
  <dcterms:modified xsi:type="dcterms:W3CDTF">2025-09-09T08:43:00Z</dcterms:modified>
</cp:coreProperties>
</file>